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A22" w:rsidRPr="00340A22" w:rsidRDefault="00340A22" w:rsidP="00340A22">
      <w:pPr>
        <w:suppressLineNumbers/>
        <w:spacing w:line="240" w:lineRule="atLeast"/>
        <w:jc w:val="center"/>
        <w:rPr>
          <w:b/>
          <w:lang w:val="en-US"/>
        </w:rPr>
      </w:pPr>
      <w:r w:rsidRPr="00340A22">
        <w:rPr>
          <w:b/>
          <w:lang w:val="en-US"/>
        </w:rPr>
        <w:t>________________________________________________________________________________</w:t>
      </w:r>
    </w:p>
    <w:p w:rsidR="00340A22" w:rsidRPr="00340A22" w:rsidRDefault="00340A22" w:rsidP="00340A22">
      <w:pPr>
        <w:pStyle w:val="Rientrocorpodeltesto21"/>
        <w:spacing w:line="276" w:lineRule="auto"/>
        <w:ind w:right="0" w:firstLine="0"/>
        <w:jc w:val="both"/>
        <w:rPr>
          <w:b/>
          <w:szCs w:val="24"/>
        </w:rPr>
      </w:pPr>
    </w:p>
    <w:p w:rsidR="00340A22" w:rsidRDefault="00340A22" w:rsidP="00340A22">
      <w:pPr>
        <w:suppressLineNumbers/>
        <w:spacing w:after="200"/>
        <w:jc w:val="center"/>
        <w:rPr>
          <w:b/>
          <w:sz w:val="32"/>
          <w:szCs w:val="32"/>
          <w:lang w:val="en-GB"/>
        </w:rPr>
      </w:pPr>
      <w:r w:rsidRPr="001D5FBD">
        <w:rPr>
          <w:b/>
          <w:sz w:val="32"/>
          <w:szCs w:val="32"/>
          <w:lang w:val="en-GB"/>
        </w:rPr>
        <w:t xml:space="preserve">APPENDIX A </w:t>
      </w:r>
      <w:r w:rsidR="009044A8">
        <w:rPr>
          <w:b/>
          <w:sz w:val="32"/>
          <w:szCs w:val="32"/>
          <w:lang w:val="en-GB"/>
        </w:rPr>
        <w:t>–</w:t>
      </w:r>
      <w:r w:rsidRPr="001D5FBD">
        <w:rPr>
          <w:b/>
          <w:sz w:val="32"/>
          <w:szCs w:val="32"/>
          <w:lang w:val="en-GB"/>
        </w:rPr>
        <w:t xml:space="preserve"> </w:t>
      </w:r>
      <w:r w:rsidR="009044A8">
        <w:rPr>
          <w:b/>
          <w:sz w:val="32"/>
          <w:szCs w:val="32"/>
          <w:lang w:val="en-GB"/>
        </w:rPr>
        <w:t>Forward compositional modelling</w:t>
      </w:r>
    </w:p>
    <w:p w:rsidR="00340A22" w:rsidRPr="00340A22" w:rsidRDefault="00340A22" w:rsidP="00340A22">
      <w:pPr>
        <w:suppressLineNumbers/>
        <w:spacing w:after="40" w:line="340" w:lineRule="exact"/>
        <w:jc w:val="center"/>
        <w:rPr>
          <w:i/>
          <w:sz w:val="28"/>
          <w:szCs w:val="28"/>
          <w:lang w:val="en-GB"/>
        </w:rPr>
      </w:pPr>
      <w:r w:rsidRPr="00340A22">
        <w:rPr>
          <w:i/>
          <w:sz w:val="28"/>
          <w:szCs w:val="28"/>
          <w:lang w:val="en-GB"/>
        </w:rPr>
        <w:t xml:space="preserve"> "Tracing provenance and sediment fluxes in the Irrawaddy River basin (Myanmar)"</w:t>
      </w:r>
    </w:p>
    <w:p w:rsidR="00357154" w:rsidRPr="00340A22" w:rsidRDefault="00340A22" w:rsidP="00340A22">
      <w:pPr>
        <w:jc w:val="center"/>
        <w:rPr>
          <w:b/>
          <w:sz w:val="32"/>
          <w:szCs w:val="32"/>
        </w:rPr>
      </w:pPr>
      <w:proofErr w:type="spellStart"/>
      <w:r>
        <w:rPr>
          <w:sz w:val="28"/>
          <w:szCs w:val="28"/>
        </w:rPr>
        <w:t>by</w:t>
      </w:r>
      <w:proofErr w:type="spellEnd"/>
      <w:r>
        <w:rPr>
          <w:sz w:val="28"/>
          <w:szCs w:val="28"/>
        </w:rPr>
        <w:t xml:space="preserve"> </w:t>
      </w:r>
      <w:r w:rsidRPr="00340A22">
        <w:rPr>
          <w:sz w:val="28"/>
          <w:szCs w:val="28"/>
        </w:rPr>
        <w:t xml:space="preserve">Garzanti, E., </w:t>
      </w:r>
      <w:proofErr w:type="spellStart"/>
      <w:r w:rsidRPr="00340A22">
        <w:rPr>
          <w:sz w:val="28"/>
          <w:szCs w:val="28"/>
        </w:rPr>
        <w:t>Wang</w:t>
      </w:r>
      <w:proofErr w:type="spellEnd"/>
      <w:r w:rsidRPr="00340A22">
        <w:rPr>
          <w:sz w:val="28"/>
          <w:szCs w:val="28"/>
        </w:rPr>
        <w:t xml:space="preserve"> </w:t>
      </w:r>
      <w:proofErr w:type="spellStart"/>
      <w:r w:rsidRPr="00340A22">
        <w:rPr>
          <w:sz w:val="28"/>
          <w:szCs w:val="28"/>
        </w:rPr>
        <w:t>J-G</w:t>
      </w:r>
      <w:proofErr w:type="spellEnd"/>
      <w:r w:rsidRPr="00340A22">
        <w:rPr>
          <w:sz w:val="28"/>
          <w:szCs w:val="28"/>
        </w:rPr>
        <w:t xml:space="preserve">., </w:t>
      </w:r>
      <w:proofErr w:type="spellStart"/>
      <w:r w:rsidRPr="00340A22">
        <w:rPr>
          <w:sz w:val="28"/>
          <w:szCs w:val="28"/>
        </w:rPr>
        <w:t>Vezzoli</w:t>
      </w:r>
      <w:proofErr w:type="spellEnd"/>
      <w:r w:rsidRPr="00340A22">
        <w:rPr>
          <w:sz w:val="28"/>
          <w:szCs w:val="28"/>
        </w:rPr>
        <w:t xml:space="preserve">, G., </w:t>
      </w:r>
      <w:proofErr w:type="spellStart"/>
      <w:r w:rsidRPr="00340A22">
        <w:rPr>
          <w:sz w:val="28"/>
          <w:szCs w:val="28"/>
        </w:rPr>
        <w:t>Limonta</w:t>
      </w:r>
      <w:proofErr w:type="spellEnd"/>
      <w:r w:rsidRPr="00340A22">
        <w:rPr>
          <w:sz w:val="28"/>
          <w:szCs w:val="28"/>
        </w:rPr>
        <w:t>, M.</w:t>
      </w:r>
    </w:p>
    <w:p w:rsidR="00357154" w:rsidRPr="009044A8" w:rsidRDefault="00753284" w:rsidP="00340A22">
      <w:pPr>
        <w:suppressLineNumbers/>
        <w:spacing w:line="360" w:lineRule="auto"/>
        <w:jc w:val="center"/>
        <w:rPr>
          <w:b/>
          <w:lang w:val="en-GB"/>
        </w:rPr>
      </w:pPr>
      <w:r w:rsidRPr="009044A8">
        <w:rPr>
          <w:b/>
          <w:lang w:val="en-GB"/>
        </w:rPr>
        <w:t>________________________________________________________________________________</w:t>
      </w:r>
    </w:p>
    <w:p w:rsidR="00753284" w:rsidRPr="009044A8" w:rsidRDefault="00753284" w:rsidP="009044A8">
      <w:pPr>
        <w:pStyle w:val="Rientrocorpodeltesto21"/>
        <w:tabs>
          <w:tab w:val="left" w:pos="3686"/>
        </w:tabs>
        <w:spacing w:line="276" w:lineRule="auto"/>
        <w:ind w:right="0" w:firstLine="0"/>
        <w:jc w:val="both"/>
        <w:rPr>
          <w:b/>
          <w:szCs w:val="24"/>
          <w:lang w:val="en-GB"/>
        </w:rPr>
      </w:pPr>
    </w:p>
    <w:p w:rsidR="00753284" w:rsidRPr="003B3A5B" w:rsidRDefault="00753284" w:rsidP="009044A8">
      <w:pPr>
        <w:pStyle w:val="FreeFormA"/>
        <w:tabs>
          <w:tab w:val="left" w:pos="3686"/>
        </w:tabs>
        <w:spacing w:line="360" w:lineRule="auto"/>
        <w:jc w:val="both"/>
        <w:rPr>
          <w:rFonts w:ascii="Times New Roman" w:hAnsi="Times New Roman"/>
          <w:color w:val="auto"/>
          <w:szCs w:val="24"/>
          <w:lang w:val="en-GB"/>
        </w:rPr>
      </w:pPr>
      <w:proofErr w:type="spellStart"/>
      <w:r w:rsidRPr="000565CF">
        <w:rPr>
          <w:rFonts w:ascii="Times New Roman" w:hAnsi="Times New Roman"/>
          <w:color w:val="auto"/>
        </w:rPr>
        <w:t>Terrigenous</w:t>
      </w:r>
      <w:proofErr w:type="spellEnd"/>
      <w:r w:rsidRPr="000565CF">
        <w:rPr>
          <w:rFonts w:ascii="Times New Roman" w:hAnsi="Times New Roman"/>
          <w:color w:val="auto"/>
        </w:rPr>
        <w:t xml:space="preserve"> fluvial sediments</w:t>
      </w:r>
      <w:r w:rsidRPr="003B3A5B">
        <w:rPr>
          <w:rFonts w:ascii="Times New Roman" w:hAnsi="Times New Roman"/>
          <w:szCs w:val="24"/>
          <w:lang w:val="en-GB"/>
        </w:rPr>
        <w:t xml:space="preserve"> are complex mixtures of single detrital minerals and rock fragments supplied in various proportions by numerous </w:t>
      </w:r>
      <w:r>
        <w:rPr>
          <w:rFonts w:ascii="Times New Roman" w:hAnsi="Times New Roman"/>
          <w:szCs w:val="24"/>
          <w:lang w:val="en-GB"/>
        </w:rPr>
        <w:t xml:space="preserve">different end-member sources </w:t>
      </w:r>
      <w:r w:rsidRPr="007E7AEB">
        <w:rPr>
          <w:rFonts w:ascii="Times New Roman" w:hAnsi="Times New Roman"/>
          <w:color w:val="auto"/>
        </w:rPr>
        <w:t xml:space="preserve">(e.g., </w:t>
      </w:r>
      <w:r>
        <w:rPr>
          <w:rFonts w:ascii="Times New Roman" w:hAnsi="Times New Roman"/>
          <w:color w:val="auto"/>
        </w:rPr>
        <w:t xml:space="preserve">tributaries, tectonic units, </w:t>
      </w:r>
      <w:r w:rsidRPr="007E7AEB">
        <w:rPr>
          <w:rFonts w:ascii="Times New Roman" w:hAnsi="Times New Roman"/>
          <w:color w:val="auto"/>
        </w:rPr>
        <w:t xml:space="preserve">parent </w:t>
      </w:r>
      <w:proofErr w:type="spellStart"/>
      <w:r w:rsidRPr="007E7AEB">
        <w:rPr>
          <w:rFonts w:ascii="Times New Roman" w:hAnsi="Times New Roman"/>
          <w:color w:val="auto"/>
        </w:rPr>
        <w:t>lithologies</w:t>
      </w:r>
      <w:proofErr w:type="spellEnd"/>
      <w:r>
        <w:rPr>
          <w:rFonts w:ascii="Times New Roman" w:hAnsi="Times New Roman"/>
          <w:szCs w:val="24"/>
          <w:lang w:val="en-GB"/>
        </w:rPr>
        <w:t>)</w:t>
      </w:r>
      <w:r w:rsidRPr="003B3A5B">
        <w:rPr>
          <w:rFonts w:ascii="Times New Roman" w:hAnsi="Times New Roman"/>
          <w:szCs w:val="24"/>
          <w:lang w:val="en-GB"/>
        </w:rPr>
        <w:t xml:space="preserve"> to successive </w:t>
      </w:r>
      <w:r w:rsidRPr="003B3A5B">
        <w:rPr>
          <w:rFonts w:ascii="Times New Roman" w:hAnsi="Times New Roman"/>
          <w:color w:val="auto"/>
          <w:szCs w:val="24"/>
          <w:lang w:val="en-GB"/>
        </w:rPr>
        <w:t xml:space="preserve">segments of a trunk river. If </w:t>
      </w:r>
      <w:r>
        <w:rPr>
          <w:rFonts w:ascii="Times New Roman" w:hAnsi="Times New Roman"/>
          <w:color w:val="auto"/>
          <w:szCs w:val="24"/>
          <w:lang w:val="en-GB"/>
        </w:rPr>
        <w:t xml:space="preserve">the </w:t>
      </w:r>
      <w:r w:rsidRPr="003B3A5B">
        <w:rPr>
          <w:rFonts w:ascii="Times New Roman" w:hAnsi="Times New Roman"/>
          <w:color w:val="auto"/>
          <w:szCs w:val="24"/>
          <w:lang w:val="en-GB"/>
        </w:rPr>
        <w:t xml:space="preserve">compositional signature of detritus </w:t>
      </w:r>
      <w:r>
        <w:rPr>
          <w:rFonts w:ascii="Times New Roman" w:hAnsi="Times New Roman"/>
          <w:color w:val="auto"/>
          <w:szCs w:val="24"/>
          <w:lang w:val="en-GB"/>
        </w:rPr>
        <w:t>in each source (e.g., tributary) is</w:t>
      </w:r>
      <w:r w:rsidRPr="003B3A5B">
        <w:rPr>
          <w:rFonts w:ascii="Times New Roman" w:hAnsi="Times New Roman"/>
          <w:color w:val="auto"/>
          <w:szCs w:val="24"/>
          <w:lang w:val="en-GB"/>
        </w:rPr>
        <w:t xml:space="preserve"> known, </w:t>
      </w:r>
      <w:r>
        <w:rPr>
          <w:rFonts w:ascii="Times New Roman" w:hAnsi="Times New Roman"/>
          <w:color w:val="auto"/>
          <w:szCs w:val="24"/>
          <w:lang w:val="en-GB"/>
        </w:rPr>
        <w:t xml:space="preserve">then </w:t>
      </w:r>
      <w:r w:rsidRPr="003B3A5B">
        <w:rPr>
          <w:rFonts w:ascii="Times New Roman" w:hAnsi="Times New Roman"/>
          <w:color w:val="auto"/>
          <w:szCs w:val="24"/>
          <w:lang w:val="en-GB"/>
        </w:rPr>
        <w:t>relative contribution from each to total sediment load can be quantified mathematically with forward mixing models (</w:t>
      </w:r>
      <w:r w:rsidRPr="00E5315A">
        <w:rPr>
          <w:rFonts w:ascii="Times New Roman" w:hAnsi="Times New Roman"/>
          <w:color w:val="0000FF"/>
          <w:szCs w:val="24"/>
          <w:lang w:val="en-GB"/>
        </w:rPr>
        <w:t>Draper and Smith 1981</w:t>
      </w:r>
      <w:r w:rsidRPr="00E5315A">
        <w:rPr>
          <w:rFonts w:ascii="Times New Roman" w:hAnsi="Times New Roman"/>
          <w:color w:val="auto"/>
          <w:szCs w:val="24"/>
          <w:lang w:val="en-GB"/>
        </w:rPr>
        <w:t>;</w:t>
      </w:r>
      <w:r w:rsidRPr="00E5315A">
        <w:rPr>
          <w:rFonts w:ascii="Times New Roman" w:hAnsi="Times New Roman"/>
          <w:color w:val="0000FF"/>
          <w:szCs w:val="24"/>
          <w:lang w:val="en-GB"/>
        </w:rPr>
        <w:t xml:space="preserve"> </w:t>
      </w:r>
      <w:proofErr w:type="spellStart"/>
      <w:r w:rsidRPr="00E5315A">
        <w:rPr>
          <w:rFonts w:ascii="Times New Roman" w:hAnsi="Times New Roman"/>
          <w:color w:val="0000FF"/>
          <w:szCs w:val="24"/>
          <w:lang w:val="en-GB"/>
        </w:rPr>
        <w:t>Weltje</w:t>
      </w:r>
      <w:proofErr w:type="spellEnd"/>
      <w:r w:rsidRPr="00E5315A">
        <w:rPr>
          <w:rFonts w:ascii="Times New Roman" w:hAnsi="Times New Roman"/>
          <w:color w:val="0000FF"/>
          <w:szCs w:val="24"/>
          <w:lang w:val="en-GB"/>
        </w:rPr>
        <w:t>, 1997</w:t>
      </w:r>
      <w:r w:rsidRPr="003B3A5B">
        <w:rPr>
          <w:rFonts w:ascii="Times New Roman" w:hAnsi="Times New Roman"/>
          <w:color w:val="auto"/>
          <w:szCs w:val="24"/>
          <w:lang w:val="en-GB"/>
        </w:rPr>
        <w:t>). Several assumptions are made to derive a forward model from a series of compositions (</w:t>
      </w:r>
      <w:proofErr w:type="spellStart"/>
      <w:r w:rsidRPr="00E5315A">
        <w:rPr>
          <w:rFonts w:ascii="Times New Roman" w:hAnsi="Times New Roman"/>
          <w:color w:val="0000FF"/>
          <w:szCs w:val="24"/>
          <w:lang w:val="en-GB"/>
        </w:rPr>
        <w:t>Weltje</w:t>
      </w:r>
      <w:proofErr w:type="spellEnd"/>
      <w:r w:rsidRPr="00E5315A">
        <w:rPr>
          <w:rFonts w:ascii="Times New Roman" w:hAnsi="Times New Roman"/>
          <w:color w:val="0000FF"/>
          <w:szCs w:val="24"/>
          <w:lang w:val="en-GB"/>
        </w:rPr>
        <w:t xml:space="preserve"> and </w:t>
      </w:r>
      <w:proofErr w:type="spellStart"/>
      <w:r w:rsidRPr="00E5315A">
        <w:rPr>
          <w:rFonts w:ascii="Times New Roman" w:hAnsi="Times New Roman"/>
          <w:color w:val="0000FF"/>
          <w:szCs w:val="24"/>
          <w:lang w:val="en-GB"/>
        </w:rPr>
        <w:t>Prins</w:t>
      </w:r>
      <w:proofErr w:type="spellEnd"/>
      <w:r w:rsidRPr="00E5315A">
        <w:rPr>
          <w:rFonts w:ascii="Times New Roman" w:hAnsi="Times New Roman"/>
          <w:color w:val="0000FF"/>
          <w:szCs w:val="24"/>
          <w:lang w:val="en-GB"/>
        </w:rPr>
        <w:t xml:space="preserve"> 2003</w:t>
      </w:r>
      <w:r w:rsidRPr="003B3A5B">
        <w:rPr>
          <w:rFonts w:ascii="Times New Roman" w:hAnsi="Times New Roman"/>
          <w:color w:val="auto"/>
          <w:szCs w:val="24"/>
          <w:lang w:val="en-GB"/>
        </w:rPr>
        <w:t>): 1) the order of the compositional variables or categories is irrelevant (permutation invariance); 2) the observed compositional variation reflects linear mixing or an analogous process with a superpose</w:t>
      </w:r>
      <w:r>
        <w:rPr>
          <w:rFonts w:ascii="Times New Roman" w:hAnsi="Times New Roman"/>
          <w:color w:val="auto"/>
          <w:szCs w:val="24"/>
          <w:lang w:val="en-GB"/>
        </w:rPr>
        <w:t>d measurement error; 3) end-</w:t>
      </w:r>
      <w:r w:rsidRPr="003B3A5B">
        <w:rPr>
          <w:rFonts w:ascii="Times New Roman" w:hAnsi="Times New Roman"/>
          <w:color w:val="auto"/>
          <w:szCs w:val="24"/>
          <w:lang w:val="en-GB"/>
        </w:rPr>
        <w:t>member compos</w:t>
      </w:r>
      <w:r>
        <w:rPr>
          <w:rFonts w:ascii="Times New Roman" w:hAnsi="Times New Roman"/>
          <w:color w:val="auto"/>
          <w:szCs w:val="24"/>
          <w:lang w:val="en-GB"/>
        </w:rPr>
        <w:t>itions are fixed; 4) end-</w:t>
      </w:r>
      <w:r w:rsidRPr="003B3A5B">
        <w:rPr>
          <w:rFonts w:ascii="Times New Roman" w:hAnsi="Times New Roman"/>
          <w:color w:val="auto"/>
          <w:szCs w:val="24"/>
          <w:lang w:val="en-GB"/>
        </w:rPr>
        <w:t>member compositions are as close as possible to observed compositions.</w:t>
      </w:r>
    </w:p>
    <w:p w:rsidR="00753284" w:rsidRDefault="00753284" w:rsidP="009044A8">
      <w:pPr>
        <w:pStyle w:val="Normale1"/>
        <w:tabs>
          <w:tab w:val="left" w:pos="709"/>
          <w:tab w:val="left" w:pos="1418"/>
          <w:tab w:val="left" w:pos="2127"/>
          <w:tab w:val="left" w:pos="2836"/>
          <w:tab w:val="left" w:pos="3545"/>
          <w:tab w:val="left" w:pos="3686"/>
          <w:tab w:val="left" w:pos="4254"/>
          <w:tab w:val="left" w:pos="4963"/>
          <w:tab w:val="left" w:pos="5672"/>
          <w:tab w:val="left" w:pos="6381"/>
          <w:tab w:val="left" w:pos="7090"/>
          <w:tab w:val="left" w:pos="7799"/>
          <w:tab w:val="left" w:pos="8508"/>
          <w:tab w:val="left" w:pos="9137"/>
        </w:tabs>
        <w:spacing w:line="360" w:lineRule="auto"/>
        <w:ind w:right="-7"/>
        <w:rPr>
          <w:i/>
          <w:iCs/>
          <w:color w:val="auto"/>
          <w:lang w:val="en-GB"/>
        </w:rPr>
      </w:pPr>
    </w:p>
    <w:p w:rsidR="00753284" w:rsidRPr="009044A8" w:rsidRDefault="00753284" w:rsidP="009044A8">
      <w:pPr>
        <w:pStyle w:val="Normale1"/>
        <w:tabs>
          <w:tab w:val="left" w:pos="709"/>
          <w:tab w:val="left" w:pos="1418"/>
          <w:tab w:val="left" w:pos="2127"/>
          <w:tab w:val="left" w:pos="2836"/>
          <w:tab w:val="left" w:pos="3545"/>
          <w:tab w:val="left" w:pos="3686"/>
          <w:tab w:val="left" w:pos="4254"/>
          <w:tab w:val="left" w:pos="4963"/>
          <w:tab w:val="left" w:pos="5672"/>
          <w:tab w:val="left" w:pos="6381"/>
          <w:tab w:val="left" w:pos="7090"/>
          <w:tab w:val="left" w:pos="7799"/>
          <w:tab w:val="left" w:pos="8508"/>
          <w:tab w:val="left" w:pos="9137"/>
        </w:tabs>
        <w:ind w:right="-7"/>
        <w:rPr>
          <w:b/>
          <w:iCs/>
          <w:color w:val="auto"/>
          <w:lang w:val="en-GB"/>
        </w:rPr>
      </w:pPr>
      <w:r w:rsidRPr="009044A8">
        <w:rPr>
          <w:b/>
          <w:iCs/>
          <w:color w:val="auto"/>
          <w:lang w:val="en-GB"/>
        </w:rPr>
        <w:t>1</w:t>
      </w:r>
      <w:r w:rsidR="009044A8" w:rsidRPr="009044A8">
        <w:rPr>
          <w:b/>
          <w:iCs/>
          <w:color w:val="auto"/>
          <w:lang w:val="en-GB"/>
        </w:rPr>
        <w:t>.</w:t>
      </w:r>
      <w:r w:rsidRPr="009044A8">
        <w:rPr>
          <w:b/>
          <w:iCs/>
          <w:color w:val="auto"/>
          <w:lang w:val="en-GB"/>
        </w:rPr>
        <w:t xml:space="preserve"> Compositional data</w:t>
      </w:r>
    </w:p>
    <w:p w:rsidR="00753284" w:rsidRDefault="00753284" w:rsidP="009044A8">
      <w:pPr>
        <w:pStyle w:val="FreeFormA"/>
        <w:tabs>
          <w:tab w:val="left" w:pos="3686"/>
        </w:tabs>
        <w:jc w:val="both"/>
        <w:rPr>
          <w:rFonts w:ascii="Times New Roman" w:hAnsi="Times New Roman"/>
          <w:color w:val="auto"/>
        </w:rPr>
      </w:pPr>
    </w:p>
    <w:p w:rsidR="00753284" w:rsidRDefault="00753284" w:rsidP="009044A8">
      <w:pPr>
        <w:pStyle w:val="FreeFormA"/>
        <w:tabs>
          <w:tab w:val="left" w:pos="3686"/>
        </w:tabs>
        <w:spacing w:line="360" w:lineRule="auto"/>
        <w:jc w:val="both"/>
        <w:rPr>
          <w:rFonts w:ascii="Times New Roman" w:hAnsi="Times New Roman"/>
          <w:color w:val="auto"/>
        </w:rPr>
      </w:pPr>
      <w:r w:rsidRPr="000565CF">
        <w:rPr>
          <w:rFonts w:ascii="Times New Roman" w:hAnsi="Times New Roman"/>
          <w:color w:val="auto"/>
        </w:rPr>
        <w:t xml:space="preserve">Geological data are often presented in percentages that represent relative contributions of the single variables </w:t>
      </w:r>
      <w:r>
        <w:rPr>
          <w:rFonts w:ascii="Times New Roman" w:hAnsi="Times New Roman"/>
          <w:color w:val="auto"/>
        </w:rPr>
        <w:t>to a</w:t>
      </w:r>
      <w:r w:rsidRPr="000565CF">
        <w:rPr>
          <w:rFonts w:ascii="Times New Roman" w:hAnsi="Times New Roman"/>
          <w:color w:val="auto"/>
        </w:rPr>
        <w:t xml:space="preserve"> whole (i.e. closed data; </w:t>
      </w:r>
      <w:proofErr w:type="spellStart"/>
      <w:r w:rsidRPr="00E5315A">
        <w:rPr>
          <w:rFonts w:ascii="Times New Roman" w:hAnsi="Times New Roman"/>
          <w:color w:val="0000FF"/>
        </w:rPr>
        <w:t>Chayes</w:t>
      </w:r>
      <w:proofErr w:type="spellEnd"/>
      <w:r w:rsidRPr="00E5315A">
        <w:rPr>
          <w:rFonts w:ascii="Times New Roman" w:hAnsi="Times New Roman"/>
          <w:color w:val="0000FF"/>
        </w:rPr>
        <w:t>, 1971</w:t>
      </w:r>
      <w:r w:rsidRPr="000565CF">
        <w:rPr>
          <w:rFonts w:ascii="Times New Roman" w:hAnsi="Times New Roman"/>
          <w:color w:val="auto"/>
        </w:rPr>
        <w:t>). This means that the relevant information is contained only in the ratios between variables of the data</w:t>
      </w:r>
      <w:r>
        <w:rPr>
          <w:rFonts w:ascii="Times New Roman" w:hAnsi="Times New Roman"/>
          <w:color w:val="auto"/>
        </w:rPr>
        <w:t xml:space="preserve"> </w:t>
      </w:r>
      <w:r w:rsidRPr="000565CF">
        <w:rPr>
          <w:rFonts w:ascii="Times New Roman" w:hAnsi="Times New Roman"/>
          <w:color w:val="auto"/>
        </w:rPr>
        <w:t>(i.e</w:t>
      </w:r>
      <w:r>
        <w:rPr>
          <w:rFonts w:ascii="Times New Roman" w:hAnsi="Times New Roman"/>
          <w:color w:val="auto"/>
        </w:rPr>
        <w:t>., c</w:t>
      </w:r>
      <w:r w:rsidRPr="000565CF">
        <w:rPr>
          <w:rFonts w:ascii="Times New Roman" w:hAnsi="Times New Roman"/>
          <w:color w:val="auto"/>
        </w:rPr>
        <w:t xml:space="preserve">ompositions; </w:t>
      </w:r>
      <w:proofErr w:type="spellStart"/>
      <w:r w:rsidRPr="00E5315A">
        <w:rPr>
          <w:rFonts w:ascii="Times New Roman" w:hAnsi="Times New Roman"/>
          <w:color w:val="0000FF"/>
        </w:rPr>
        <w:t>Pawlowsky-Glahn</w:t>
      </w:r>
      <w:proofErr w:type="spellEnd"/>
      <w:r w:rsidRPr="00E5315A">
        <w:rPr>
          <w:rFonts w:ascii="Times New Roman" w:hAnsi="Times New Roman"/>
          <w:color w:val="0000FF"/>
        </w:rPr>
        <w:t xml:space="preserve"> and </w:t>
      </w:r>
      <w:proofErr w:type="spellStart"/>
      <w:r w:rsidRPr="00E5315A">
        <w:rPr>
          <w:rFonts w:ascii="Times New Roman" w:hAnsi="Times New Roman"/>
          <w:color w:val="0000FF"/>
        </w:rPr>
        <w:t>Egozcue</w:t>
      </w:r>
      <w:proofErr w:type="spellEnd"/>
      <w:r w:rsidRPr="00E5315A">
        <w:rPr>
          <w:rFonts w:ascii="Times New Roman" w:hAnsi="Times New Roman"/>
          <w:color w:val="0000FF"/>
        </w:rPr>
        <w:t>, 2006</w:t>
      </w:r>
      <w:r w:rsidRPr="000565CF">
        <w:rPr>
          <w:rFonts w:ascii="Times New Roman" w:hAnsi="Times New Roman"/>
          <w:color w:val="auto"/>
        </w:rPr>
        <w:t>).</w:t>
      </w:r>
      <w:r>
        <w:rPr>
          <w:rFonts w:ascii="Times New Roman" w:hAnsi="Times New Roman"/>
          <w:color w:val="auto"/>
        </w:rPr>
        <w:t xml:space="preserve"> </w:t>
      </w:r>
      <w:r w:rsidRPr="000565CF">
        <w:rPr>
          <w:rFonts w:ascii="Times New Roman" w:hAnsi="Times New Roman"/>
          <w:color w:val="auto"/>
        </w:rPr>
        <w:t xml:space="preserve">Compositional data are by definition vectors </w:t>
      </w:r>
      <w:r>
        <w:rPr>
          <w:rFonts w:ascii="Times New Roman" w:hAnsi="Times New Roman"/>
          <w:color w:val="auto"/>
        </w:rPr>
        <w:t>in</w:t>
      </w:r>
      <w:r w:rsidRPr="000565CF">
        <w:rPr>
          <w:rFonts w:ascii="Times New Roman" w:hAnsi="Times New Roman"/>
          <w:color w:val="auto"/>
        </w:rPr>
        <w:t xml:space="preserve"> which each variable (component) is positive</w:t>
      </w:r>
      <w:r>
        <w:rPr>
          <w:rFonts w:ascii="Times New Roman" w:hAnsi="Times New Roman"/>
          <w:color w:val="auto"/>
        </w:rPr>
        <w:t xml:space="preserve">, </w:t>
      </w:r>
      <w:r w:rsidRPr="000565CF">
        <w:rPr>
          <w:rFonts w:ascii="Times New Roman" w:hAnsi="Times New Roman"/>
          <w:color w:val="auto"/>
        </w:rPr>
        <w:t xml:space="preserve">and all components sum to a constant </w:t>
      </w:r>
      <w:r w:rsidRPr="000565CF">
        <w:rPr>
          <w:rFonts w:ascii="Times New Roman" w:hAnsi="Times New Roman"/>
          <w:i/>
          <w:color w:val="auto"/>
        </w:rPr>
        <w:t>c</w:t>
      </w:r>
      <w:r>
        <w:rPr>
          <w:rFonts w:ascii="Times New Roman" w:hAnsi="Times New Roman"/>
          <w:color w:val="auto"/>
        </w:rPr>
        <w:t>, which</w:t>
      </w:r>
      <w:r w:rsidRPr="000565CF">
        <w:rPr>
          <w:rFonts w:ascii="Times New Roman" w:hAnsi="Times New Roman"/>
          <w:color w:val="auto"/>
        </w:rPr>
        <w:t xml:space="preserve"> is usually chosen as 1 or 100.</w:t>
      </w:r>
    </w:p>
    <w:p w:rsidR="00753284" w:rsidRPr="000565CF" w:rsidRDefault="00753284" w:rsidP="009044A8">
      <w:pPr>
        <w:pStyle w:val="FreeFormA"/>
        <w:tabs>
          <w:tab w:val="left" w:pos="3686"/>
        </w:tabs>
        <w:spacing w:line="360" w:lineRule="auto"/>
        <w:jc w:val="both"/>
        <w:rPr>
          <w:rFonts w:ascii="Times New Roman" w:hAnsi="Times New Roman"/>
          <w:color w:val="auto"/>
        </w:rPr>
      </w:pPr>
      <w:r w:rsidRPr="000565CF">
        <w:rPr>
          <w:rFonts w:ascii="Times New Roman" w:hAnsi="Times New Roman"/>
          <w:color w:val="auto"/>
        </w:rPr>
        <w:t xml:space="preserve">The sample space for compositional data </w:t>
      </w:r>
      <w:r>
        <w:rPr>
          <w:rFonts w:ascii="Times New Roman" w:hAnsi="Times New Roman"/>
          <w:color w:val="auto"/>
        </w:rPr>
        <w:t xml:space="preserve">with </w:t>
      </w:r>
      <w:r w:rsidRPr="00DE461F">
        <w:rPr>
          <w:rFonts w:ascii="Times New Roman" w:hAnsi="Times New Roman"/>
          <w:i/>
          <w:color w:val="auto"/>
        </w:rPr>
        <w:t>D</w:t>
      </w:r>
      <w:r>
        <w:rPr>
          <w:rFonts w:ascii="Times New Roman" w:hAnsi="Times New Roman"/>
          <w:color w:val="auto"/>
        </w:rPr>
        <w:t xml:space="preserve"> variables </w:t>
      </w:r>
      <w:r w:rsidRPr="000565CF">
        <w:rPr>
          <w:rFonts w:ascii="Times New Roman" w:hAnsi="Times New Roman"/>
          <w:color w:val="auto"/>
        </w:rPr>
        <w:t xml:space="preserve">is not the real space </w:t>
      </w:r>
      <w:r w:rsidRPr="000565CF">
        <w:rPr>
          <w:rFonts w:ascii="Times New Roman" w:hAnsi="Times New Roman"/>
          <w:i/>
          <w:color w:val="auto"/>
        </w:rPr>
        <w:t>R</w:t>
      </w:r>
      <w:r w:rsidRPr="000565CF">
        <w:rPr>
          <w:rFonts w:ascii="Times New Roman" w:hAnsi="Times New Roman"/>
          <w:i/>
          <w:color w:val="auto"/>
          <w:vertAlign w:val="superscript"/>
        </w:rPr>
        <w:t>D</w:t>
      </w:r>
      <w:r>
        <w:rPr>
          <w:rFonts w:ascii="Times New Roman" w:hAnsi="Times New Roman"/>
          <w:color w:val="auto"/>
        </w:rPr>
        <w:t xml:space="preserve">, </w:t>
      </w:r>
      <w:r w:rsidRPr="000565CF">
        <w:rPr>
          <w:rFonts w:ascii="Times New Roman" w:hAnsi="Times New Roman"/>
          <w:color w:val="auto"/>
        </w:rPr>
        <w:t xml:space="preserve">but the simplex </w:t>
      </w:r>
      <w:r w:rsidRPr="000565CF">
        <w:rPr>
          <w:rFonts w:ascii="Times New Roman" w:hAnsi="Times New Roman"/>
          <w:i/>
          <w:color w:val="auto"/>
        </w:rPr>
        <w:t>S</w:t>
      </w:r>
      <w:r w:rsidRPr="000565CF">
        <w:rPr>
          <w:rFonts w:ascii="Times New Roman" w:hAnsi="Times New Roman"/>
          <w:i/>
          <w:color w:val="auto"/>
          <w:vertAlign w:val="superscript"/>
        </w:rPr>
        <w:t>D</w:t>
      </w:r>
      <w:r w:rsidRPr="000565CF">
        <w:rPr>
          <w:rFonts w:ascii="Times New Roman" w:hAnsi="Times New Roman"/>
          <w:color w:val="auto"/>
          <w:vertAlign w:val="superscript"/>
        </w:rPr>
        <w:t xml:space="preserve"> </w:t>
      </w:r>
      <w:r>
        <w:rPr>
          <w:rFonts w:ascii="Times New Roman" w:hAnsi="Times New Roman"/>
          <w:color w:val="auto"/>
        </w:rPr>
        <w:t>(</w:t>
      </w:r>
      <w:proofErr w:type="spellStart"/>
      <w:r w:rsidRPr="00E5315A">
        <w:rPr>
          <w:rFonts w:ascii="Times New Roman" w:hAnsi="Times New Roman"/>
          <w:color w:val="0000FF"/>
        </w:rPr>
        <w:t>Aitchison</w:t>
      </w:r>
      <w:proofErr w:type="spellEnd"/>
      <w:r w:rsidRPr="00E5315A">
        <w:rPr>
          <w:rFonts w:ascii="Times New Roman" w:hAnsi="Times New Roman"/>
          <w:color w:val="0000FF"/>
        </w:rPr>
        <w:t>, 1986</w:t>
      </w:r>
      <w:r>
        <w:rPr>
          <w:rFonts w:ascii="Times New Roman" w:hAnsi="Times New Roman"/>
          <w:color w:val="auto"/>
        </w:rPr>
        <w:t>)</w:t>
      </w:r>
    </w:p>
    <w:p w:rsidR="00753284" w:rsidRPr="0064004B" w:rsidRDefault="00753284" w:rsidP="009044A8">
      <w:pPr>
        <w:pStyle w:val="FreeFormA"/>
        <w:tabs>
          <w:tab w:val="left" w:pos="3686"/>
        </w:tabs>
        <w:spacing w:line="360" w:lineRule="auto"/>
        <w:rPr>
          <w:rFonts w:ascii="Times New Roman" w:hAnsi="Times New Roman"/>
          <w:color w:val="00B050"/>
        </w:rPr>
      </w:pPr>
      <w:r w:rsidRPr="0064004B">
        <w:rPr>
          <w:color w:val="00B050"/>
          <w:position w:val="-30"/>
        </w:rPr>
        <w:object w:dxaOrig="838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8pt;height:37.8pt" o:ole="">
            <v:imagedata r:id="rId5" o:title=""/>
          </v:shape>
          <o:OLEObject Type="Embed" ProgID="Equation.3" ShapeID="_x0000_i1025" DrawAspect="Content" ObjectID="_1526800550" r:id="rId6"/>
        </w:object>
      </w:r>
    </w:p>
    <w:p w:rsidR="00753284" w:rsidRPr="000565CF" w:rsidRDefault="00753284" w:rsidP="009044A8">
      <w:pPr>
        <w:pStyle w:val="FreeFormA"/>
        <w:tabs>
          <w:tab w:val="left" w:pos="3686"/>
        </w:tabs>
        <w:spacing w:line="360" w:lineRule="auto"/>
        <w:jc w:val="both"/>
        <w:rPr>
          <w:rFonts w:ascii="Times New Roman" w:hAnsi="Times New Roman"/>
          <w:color w:val="auto"/>
        </w:rPr>
      </w:pPr>
      <w:r w:rsidRPr="00E5315A">
        <w:rPr>
          <w:rFonts w:ascii="Times New Roman" w:hAnsi="Times New Roman"/>
          <w:color w:val="0000FF"/>
        </w:rPr>
        <w:t>Karl</w:t>
      </w:r>
      <w:r w:rsidRPr="000565CF">
        <w:rPr>
          <w:rFonts w:ascii="Times New Roman" w:hAnsi="Times New Roman"/>
          <w:color w:val="auto"/>
        </w:rPr>
        <w:t xml:space="preserve"> </w:t>
      </w:r>
      <w:r w:rsidRPr="00E5315A">
        <w:rPr>
          <w:rFonts w:ascii="Times New Roman" w:hAnsi="Times New Roman"/>
          <w:color w:val="0000FF"/>
        </w:rPr>
        <w:t xml:space="preserve">Pearson </w:t>
      </w:r>
      <w:r w:rsidRPr="00E5315A">
        <w:rPr>
          <w:rFonts w:ascii="Times New Roman" w:hAnsi="Times New Roman"/>
          <w:color w:val="auto"/>
        </w:rPr>
        <w:t>(</w:t>
      </w:r>
      <w:r w:rsidRPr="00E5315A">
        <w:rPr>
          <w:rFonts w:ascii="Times New Roman" w:hAnsi="Times New Roman"/>
          <w:color w:val="0000FF"/>
        </w:rPr>
        <w:t>1897</w:t>
      </w:r>
      <w:r w:rsidRPr="000565CF">
        <w:rPr>
          <w:rFonts w:ascii="Times New Roman" w:hAnsi="Times New Roman"/>
          <w:color w:val="auto"/>
        </w:rPr>
        <w:t>) first highlight</w:t>
      </w:r>
      <w:r>
        <w:rPr>
          <w:rFonts w:ascii="Times New Roman" w:hAnsi="Times New Roman"/>
          <w:color w:val="auto"/>
        </w:rPr>
        <w:t>ed</w:t>
      </w:r>
      <w:r w:rsidRPr="000565CF">
        <w:rPr>
          <w:rFonts w:ascii="Times New Roman" w:hAnsi="Times New Roman"/>
          <w:color w:val="auto"/>
        </w:rPr>
        <w:t xml:space="preserve"> problems </w:t>
      </w:r>
      <w:r>
        <w:rPr>
          <w:rFonts w:ascii="Times New Roman" w:hAnsi="Times New Roman"/>
          <w:color w:val="auto"/>
        </w:rPr>
        <w:t>that arise with</w:t>
      </w:r>
      <w:r w:rsidRPr="000565CF">
        <w:rPr>
          <w:rFonts w:ascii="Times New Roman" w:hAnsi="Times New Roman"/>
          <w:color w:val="auto"/>
        </w:rPr>
        <w:t xml:space="preserve"> </w:t>
      </w:r>
      <w:r>
        <w:rPr>
          <w:rFonts w:ascii="Times New Roman" w:hAnsi="Times New Roman"/>
          <w:color w:val="auto"/>
        </w:rPr>
        <w:t xml:space="preserve">the </w:t>
      </w:r>
      <w:r w:rsidRPr="000565CF">
        <w:rPr>
          <w:rFonts w:ascii="Times New Roman" w:hAnsi="Times New Roman"/>
          <w:color w:val="auto"/>
        </w:rPr>
        <w:t xml:space="preserve">analysis of such compositional datasets. The obvious and natural properties of compositional data are in </w:t>
      </w:r>
      <w:r>
        <w:rPr>
          <w:rFonts w:ascii="Times New Roman" w:hAnsi="Times New Roman"/>
          <w:color w:val="auto"/>
        </w:rPr>
        <w:t xml:space="preserve">fact in </w:t>
      </w:r>
      <w:r w:rsidRPr="000565CF">
        <w:rPr>
          <w:rFonts w:ascii="Times New Roman" w:hAnsi="Times New Roman"/>
          <w:color w:val="auto"/>
        </w:rPr>
        <w:t xml:space="preserve">contradiction </w:t>
      </w:r>
      <w:r>
        <w:rPr>
          <w:rFonts w:ascii="Times New Roman" w:hAnsi="Times New Roman"/>
          <w:color w:val="auto"/>
        </w:rPr>
        <w:t>with</w:t>
      </w:r>
      <w:r w:rsidRPr="000565CF">
        <w:rPr>
          <w:rFonts w:ascii="Times New Roman" w:hAnsi="Times New Roman"/>
          <w:color w:val="auto"/>
        </w:rPr>
        <w:t xml:space="preserve"> most methods of standard multivariate statistics</w:t>
      </w:r>
      <w:r>
        <w:rPr>
          <w:rFonts w:ascii="Times New Roman" w:hAnsi="Times New Roman"/>
          <w:color w:val="auto"/>
        </w:rPr>
        <w:t>. P</w:t>
      </w:r>
      <w:r w:rsidRPr="000565CF">
        <w:rPr>
          <w:rFonts w:ascii="Times New Roman" w:hAnsi="Times New Roman"/>
          <w:color w:val="auto"/>
        </w:rPr>
        <w:t>rincipal</w:t>
      </w:r>
      <w:r>
        <w:rPr>
          <w:rFonts w:ascii="Times New Roman" w:hAnsi="Times New Roman"/>
          <w:color w:val="auto"/>
        </w:rPr>
        <w:t>-</w:t>
      </w:r>
      <w:r w:rsidRPr="000565CF">
        <w:rPr>
          <w:rFonts w:ascii="Times New Roman" w:hAnsi="Times New Roman"/>
          <w:color w:val="auto"/>
        </w:rPr>
        <w:t>component analysis</w:t>
      </w:r>
      <w:r>
        <w:rPr>
          <w:rFonts w:ascii="Times New Roman" w:hAnsi="Times New Roman"/>
          <w:color w:val="auto"/>
        </w:rPr>
        <w:t xml:space="preserve">, for instance, </w:t>
      </w:r>
      <w:r w:rsidRPr="000565CF">
        <w:rPr>
          <w:rFonts w:ascii="Times New Roman" w:hAnsi="Times New Roman"/>
          <w:color w:val="auto"/>
        </w:rPr>
        <w:t xml:space="preserve">may lead to questionable results if directly applied to compositional data. In order to perform standard statistics, a family of </w:t>
      </w:r>
      <w:proofErr w:type="spellStart"/>
      <w:r w:rsidRPr="000565CF">
        <w:rPr>
          <w:rFonts w:ascii="Times New Roman" w:hAnsi="Times New Roman"/>
          <w:color w:val="auto"/>
        </w:rPr>
        <w:t>logratio</w:t>
      </w:r>
      <w:proofErr w:type="spellEnd"/>
      <w:r w:rsidRPr="000565CF">
        <w:rPr>
          <w:rFonts w:ascii="Times New Roman" w:hAnsi="Times New Roman"/>
          <w:color w:val="auto"/>
        </w:rPr>
        <w:t xml:space="preserve"> transformations from the simplex to the standard Euclidean space were introduced (</w:t>
      </w:r>
      <w:proofErr w:type="spellStart"/>
      <w:r w:rsidRPr="00E5315A">
        <w:rPr>
          <w:rFonts w:ascii="Times New Roman" w:hAnsi="Times New Roman"/>
          <w:color w:val="0000FF"/>
        </w:rPr>
        <w:t>Aitchison</w:t>
      </w:r>
      <w:proofErr w:type="spellEnd"/>
      <w:r w:rsidRPr="00E5315A">
        <w:rPr>
          <w:rFonts w:ascii="Times New Roman" w:hAnsi="Times New Roman"/>
          <w:color w:val="0000FF"/>
        </w:rPr>
        <w:t>, 1986</w:t>
      </w:r>
      <w:r w:rsidRPr="00E5315A">
        <w:rPr>
          <w:rFonts w:ascii="Times New Roman" w:hAnsi="Times New Roman"/>
          <w:color w:val="auto"/>
        </w:rPr>
        <w:t>;</w:t>
      </w:r>
      <w:r w:rsidRPr="00E5315A">
        <w:rPr>
          <w:rFonts w:ascii="Times New Roman" w:hAnsi="Times New Roman"/>
          <w:color w:val="0000FF"/>
        </w:rPr>
        <w:t xml:space="preserve"> </w:t>
      </w:r>
      <w:proofErr w:type="spellStart"/>
      <w:r w:rsidRPr="00E5315A">
        <w:rPr>
          <w:rFonts w:ascii="Times New Roman" w:hAnsi="Times New Roman"/>
          <w:color w:val="0000FF"/>
          <w:lang w:val="en-GB"/>
        </w:rPr>
        <w:t>Egozcue</w:t>
      </w:r>
      <w:proofErr w:type="spellEnd"/>
      <w:r w:rsidRPr="00E5315A">
        <w:rPr>
          <w:rFonts w:ascii="Times New Roman" w:hAnsi="Times New Roman"/>
          <w:color w:val="0000FF"/>
          <w:lang w:val="en-GB"/>
        </w:rPr>
        <w:t xml:space="preserve"> et al., 2003</w:t>
      </w:r>
      <w:r w:rsidRPr="00E5315A">
        <w:rPr>
          <w:rFonts w:ascii="Times New Roman" w:hAnsi="Times New Roman"/>
          <w:color w:val="auto"/>
          <w:lang w:val="en-GB"/>
        </w:rPr>
        <w:t>;</w:t>
      </w:r>
      <w:r w:rsidRPr="00E5315A">
        <w:rPr>
          <w:rFonts w:ascii="Times New Roman" w:hAnsi="Times New Roman"/>
          <w:color w:val="0000FF"/>
          <w:lang w:val="en-GB"/>
        </w:rPr>
        <w:t xml:space="preserve"> </w:t>
      </w:r>
      <w:proofErr w:type="spellStart"/>
      <w:r w:rsidRPr="00E5315A">
        <w:rPr>
          <w:rFonts w:ascii="Times New Roman" w:hAnsi="Times New Roman"/>
          <w:color w:val="0000FF"/>
          <w:lang w:val="en-GB"/>
        </w:rPr>
        <w:t>Buccianti</w:t>
      </w:r>
      <w:proofErr w:type="spellEnd"/>
      <w:r w:rsidRPr="00E5315A">
        <w:rPr>
          <w:rFonts w:ascii="Times New Roman" w:hAnsi="Times New Roman"/>
          <w:color w:val="0000FF"/>
          <w:lang w:val="en-GB"/>
        </w:rPr>
        <w:t xml:space="preserve"> et al., 2006</w:t>
      </w:r>
      <w:r w:rsidRPr="000565CF">
        <w:rPr>
          <w:rFonts w:ascii="Times New Roman" w:hAnsi="Times New Roman"/>
          <w:color w:val="auto"/>
        </w:rPr>
        <w:t xml:space="preserve">). </w:t>
      </w:r>
    </w:p>
    <w:p w:rsidR="00753284" w:rsidRPr="000565CF" w:rsidRDefault="00753284" w:rsidP="009044A8">
      <w:pPr>
        <w:pStyle w:val="FreeFormA"/>
        <w:tabs>
          <w:tab w:val="left" w:pos="3686"/>
        </w:tabs>
        <w:spacing w:line="360" w:lineRule="auto"/>
        <w:jc w:val="both"/>
        <w:rPr>
          <w:rFonts w:ascii="Times New Roman" w:hAnsi="Times New Roman"/>
          <w:color w:val="auto"/>
        </w:rPr>
      </w:pPr>
    </w:p>
    <w:p w:rsidR="00753284" w:rsidRPr="009044A8" w:rsidRDefault="00753284" w:rsidP="009044A8">
      <w:pPr>
        <w:pStyle w:val="FreeFormA"/>
        <w:tabs>
          <w:tab w:val="left" w:pos="3686"/>
        </w:tabs>
        <w:jc w:val="both"/>
        <w:rPr>
          <w:rFonts w:ascii="Times New Roman" w:hAnsi="Times New Roman"/>
          <w:b/>
          <w:color w:val="auto"/>
        </w:rPr>
      </w:pPr>
      <w:r w:rsidRPr="009044A8">
        <w:rPr>
          <w:rFonts w:ascii="Times New Roman" w:hAnsi="Times New Roman"/>
          <w:b/>
          <w:color w:val="auto"/>
        </w:rPr>
        <w:lastRenderedPageBreak/>
        <w:t>2</w:t>
      </w:r>
      <w:r w:rsidR="009044A8" w:rsidRPr="009044A8">
        <w:rPr>
          <w:rFonts w:ascii="Times New Roman" w:hAnsi="Times New Roman"/>
          <w:b/>
          <w:color w:val="auto"/>
        </w:rPr>
        <w:t>.</w:t>
      </w:r>
      <w:r w:rsidRPr="009044A8">
        <w:rPr>
          <w:rFonts w:ascii="Times New Roman" w:hAnsi="Times New Roman"/>
          <w:b/>
          <w:color w:val="auto"/>
        </w:rPr>
        <w:t xml:space="preserve"> The mixing model </w:t>
      </w:r>
    </w:p>
    <w:p w:rsidR="00753284" w:rsidRPr="000565CF" w:rsidRDefault="00753284" w:rsidP="009044A8">
      <w:pPr>
        <w:pStyle w:val="FreeFormA"/>
        <w:tabs>
          <w:tab w:val="left" w:pos="3686"/>
        </w:tabs>
        <w:jc w:val="both"/>
        <w:rPr>
          <w:rFonts w:ascii="Times New Roman" w:hAnsi="Times New Roman"/>
          <w:b/>
          <w:i/>
          <w:color w:val="auto"/>
        </w:rPr>
      </w:pPr>
    </w:p>
    <w:p w:rsidR="00753284" w:rsidRPr="000565CF" w:rsidRDefault="00753284" w:rsidP="009044A8">
      <w:pPr>
        <w:pStyle w:val="FreeFormA"/>
        <w:tabs>
          <w:tab w:val="left" w:pos="3686"/>
        </w:tabs>
        <w:spacing w:line="360" w:lineRule="auto"/>
        <w:jc w:val="both"/>
        <w:rPr>
          <w:rFonts w:ascii="Times New Roman" w:hAnsi="Times New Roman"/>
          <w:color w:val="auto"/>
        </w:rPr>
      </w:pPr>
      <w:r>
        <w:rPr>
          <w:rFonts w:ascii="Times New Roman" w:hAnsi="Times New Roman"/>
          <w:color w:val="auto"/>
        </w:rPr>
        <w:t xml:space="preserve">The </w:t>
      </w:r>
      <w:r w:rsidRPr="00AD6678">
        <w:rPr>
          <w:rFonts w:ascii="Times New Roman" w:hAnsi="Times New Roman"/>
          <w:color w:val="auto"/>
        </w:rPr>
        <w:t>forward mixin</w:t>
      </w:r>
      <w:r>
        <w:rPr>
          <w:rFonts w:ascii="Times New Roman" w:hAnsi="Times New Roman"/>
          <w:color w:val="auto"/>
        </w:rPr>
        <w:t>g</w:t>
      </w:r>
      <w:r w:rsidRPr="00AD6678">
        <w:rPr>
          <w:rFonts w:ascii="Times New Roman" w:hAnsi="Times New Roman"/>
          <w:color w:val="auto"/>
        </w:rPr>
        <w:t xml:space="preserve"> model (regression model)</w:t>
      </w:r>
      <w:r w:rsidRPr="000565CF">
        <w:rPr>
          <w:rFonts w:ascii="Times New Roman" w:hAnsi="Times New Roman"/>
          <w:color w:val="auto"/>
        </w:rPr>
        <w:t xml:space="preserve"> stipulates a linear relationship between a dependent variable (also called a response variable) and a set of explanatory variables (also called independent variables, or covariates). The relationship is stochastic, in the sense that the model is not exact, but subject to random variation, as expressed in an error term (also called disturbance term).</w:t>
      </w:r>
    </w:p>
    <w:p w:rsidR="00753284" w:rsidRPr="000565CF" w:rsidRDefault="00753284" w:rsidP="009044A8">
      <w:pPr>
        <w:pStyle w:val="FreeFormA"/>
        <w:tabs>
          <w:tab w:val="left" w:pos="3686"/>
        </w:tabs>
        <w:spacing w:line="360" w:lineRule="auto"/>
        <w:jc w:val="both"/>
        <w:rPr>
          <w:rFonts w:ascii="Times New Roman" w:hAnsi="Times New Roman"/>
          <w:color w:val="auto"/>
        </w:rPr>
      </w:pPr>
      <w:r w:rsidRPr="000565CF">
        <w:rPr>
          <w:rFonts w:ascii="Times New Roman" w:hAnsi="Times New Roman"/>
          <w:color w:val="auto"/>
        </w:rPr>
        <w:t xml:space="preserve">Let </w:t>
      </w:r>
      <w:r w:rsidRPr="000565CF">
        <w:rPr>
          <w:rFonts w:ascii="Times New Roman" w:hAnsi="Times New Roman"/>
          <w:i/>
          <w:color w:val="auto"/>
        </w:rPr>
        <w:t>y</w:t>
      </w:r>
      <w:r w:rsidRPr="000565CF">
        <w:rPr>
          <w:rFonts w:ascii="Times New Roman" w:hAnsi="Times New Roman"/>
          <w:color w:val="auto"/>
        </w:rPr>
        <w:t xml:space="preserve"> be the row vector of compositional data with </w:t>
      </w:r>
      <w:r w:rsidRPr="000565CF">
        <w:rPr>
          <w:rFonts w:ascii="Times New Roman" w:hAnsi="Times New Roman"/>
          <w:i/>
          <w:color w:val="auto"/>
        </w:rPr>
        <w:t>D</w:t>
      </w:r>
      <w:r w:rsidRPr="000565CF">
        <w:rPr>
          <w:rFonts w:ascii="Times New Roman" w:hAnsi="Times New Roman"/>
          <w:color w:val="auto"/>
        </w:rPr>
        <w:t xml:space="preserve"> columns representing variables, </w:t>
      </w:r>
      <w:r w:rsidRPr="000565CF">
        <w:rPr>
          <w:rFonts w:ascii="Times New Roman" w:hAnsi="Times New Roman"/>
          <w:i/>
          <w:color w:val="auto"/>
        </w:rPr>
        <w:t>X</w:t>
      </w:r>
      <w:r w:rsidRPr="000565CF">
        <w:rPr>
          <w:rFonts w:ascii="Times New Roman" w:hAnsi="Times New Roman"/>
          <w:color w:val="auto"/>
        </w:rPr>
        <w:t xml:space="preserve"> a matrix of end-member compositions with </w:t>
      </w:r>
      <w:r w:rsidRPr="000565CF">
        <w:rPr>
          <w:rFonts w:ascii="Times New Roman" w:hAnsi="Times New Roman"/>
          <w:i/>
          <w:color w:val="auto"/>
        </w:rPr>
        <w:t>n</w:t>
      </w:r>
      <w:r w:rsidRPr="000565CF">
        <w:rPr>
          <w:rFonts w:ascii="Times New Roman" w:hAnsi="Times New Roman"/>
          <w:color w:val="auto"/>
        </w:rPr>
        <w:t xml:space="preserve"> rows representing observations and </w:t>
      </w:r>
      <w:r w:rsidRPr="000565CF">
        <w:rPr>
          <w:rFonts w:ascii="Times New Roman" w:hAnsi="Times New Roman"/>
          <w:i/>
          <w:color w:val="auto"/>
        </w:rPr>
        <w:t>D</w:t>
      </w:r>
      <w:r w:rsidRPr="000565CF">
        <w:rPr>
          <w:rFonts w:ascii="Times New Roman" w:hAnsi="Times New Roman"/>
          <w:color w:val="auto"/>
        </w:rPr>
        <w:t xml:space="preserve"> columns representing variables, and </w:t>
      </w:r>
      <w:r w:rsidRPr="000565CF">
        <w:rPr>
          <w:rFonts w:ascii="Times New Roman" w:hAnsi="Times New Roman"/>
          <w:i/>
          <w:color w:val="auto"/>
        </w:rPr>
        <w:t>β</w:t>
      </w:r>
      <w:r w:rsidRPr="000565CF">
        <w:rPr>
          <w:rFonts w:ascii="Times New Roman" w:hAnsi="Times New Roman"/>
          <w:color w:val="auto"/>
        </w:rPr>
        <w:t xml:space="preserve"> a row vector of coefficients with </w:t>
      </w:r>
      <w:r w:rsidRPr="000565CF">
        <w:rPr>
          <w:rFonts w:ascii="Times New Roman" w:hAnsi="Times New Roman"/>
          <w:i/>
          <w:color w:val="auto"/>
        </w:rPr>
        <w:t xml:space="preserve">q = n </w:t>
      </w:r>
      <w:r w:rsidRPr="000565CF">
        <w:rPr>
          <w:rFonts w:ascii="Times New Roman" w:hAnsi="Times New Roman"/>
          <w:color w:val="auto"/>
        </w:rPr>
        <w:t>columns representing the proportional contribution of the end</w:t>
      </w:r>
      <w:r>
        <w:rPr>
          <w:rFonts w:ascii="Times New Roman" w:hAnsi="Times New Roman"/>
          <w:color w:val="auto"/>
        </w:rPr>
        <w:t xml:space="preserve"> </w:t>
      </w:r>
      <w:r w:rsidRPr="000565CF">
        <w:rPr>
          <w:rFonts w:ascii="Times New Roman" w:hAnsi="Times New Roman"/>
          <w:color w:val="auto"/>
        </w:rPr>
        <w:t>members to the observation. In matrix notation, a forward mixing model can be expressed as</w:t>
      </w:r>
    </w:p>
    <w:p w:rsidR="00753284" w:rsidRPr="0064004B" w:rsidRDefault="00753284" w:rsidP="009044A8">
      <w:pPr>
        <w:pStyle w:val="FreeFormA"/>
        <w:tabs>
          <w:tab w:val="left" w:pos="3686"/>
        </w:tabs>
        <w:spacing w:line="360" w:lineRule="auto"/>
        <w:rPr>
          <w:rFonts w:ascii="Times New Roman" w:hAnsi="Times New Roman"/>
          <w:color w:val="00B050"/>
        </w:rPr>
      </w:pPr>
      <w:r w:rsidRPr="00A92D78">
        <w:rPr>
          <w:rFonts w:ascii="Times New Roman" w:hAnsi="Times New Roman"/>
          <w:color w:val="00B050"/>
          <w:position w:val="-10"/>
        </w:rPr>
        <w:object w:dxaOrig="2000" w:dyaOrig="340">
          <v:shape id="_x0000_i1026" type="#_x0000_t75" style="width:100.2pt;height:16.8pt" o:ole="">
            <v:imagedata r:id="rId7" o:title=""/>
          </v:shape>
          <o:OLEObject Type="Embed" ProgID="Equation.3" ShapeID="_x0000_i1026" DrawAspect="Content" ObjectID="_1526800551" r:id="rId8"/>
        </w:object>
      </w:r>
    </w:p>
    <w:p w:rsidR="00753284" w:rsidRPr="000565CF" w:rsidRDefault="00753284" w:rsidP="009044A8">
      <w:pPr>
        <w:pStyle w:val="FreeFormA"/>
        <w:tabs>
          <w:tab w:val="left" w:pos="3686"/>
        </w:tabs>
        <w:spacing w:line="360" w:lineRule="auto"/>
        <w:jc w:val="both"/>
        <w:rPr>
          <w:rFonts w:ascii="Times New Roman" w:hAnsi="Times New Roman"/>
          <w:color w:val="auto"/>
        </w:rPr>
      </w:pPr>
      <w:r w:rsidRPr="000565CF">
        <w:rPr>
          <w:rFonts w:ascii="Times New Roman" w:hAnsi="Times New Roman"/>
          <w:color w:val="auto"/>
        </w:rPr>
        <w:t xml:space="preserve">The row vector </w:t>
      </w:r>
      <w:r w:rsidRPr="000565CF">
        <w:rPr>
          <w:rFonts w:ascii="Times New Roman" w:hAnsi="Times New Roman"/>
          <w:i/>
          <w:color w:val="auto"/>
        </w:rPr>
        <w:t>y</w:t>
      </w:r>
      <w:r w:rsidRPr="000565CF">
        <w:rPr>
          <w:rFonts w:ascii="Times New Roman" w:hAnsi="Times New Roman"/>
          <w:color w:val="auto"/>
        </w:rPr>
        <w:t xml:space="preserve"> consists of </w:t>
      </w:r>
      <w:r>
        <w:rPr>
          <w:rFonts w:ascii="Times New Roman" w:hAnsi="Times New Roman"/>
          <w:color w:val="auto"/>
        </w:rPr>
        <w:t xml:space="preserve">a </w:t>
      </w:r>
      <w:r w:rsidRPr="000565CF">
        <w:rPr>
          <w:rFonts w:ascii="Times New Roman" w:hAnsi="Times New Roman"/>
          <w:color w:val="auto"/>
        </w:rPr>
        <w:t xml:space="preserve">non-negative linear combination </w:t>
      </w:r>
      <w:r w:rsidRPr="000565CF">
        <w:rPr>
          <w:rFonts w:ascii="Times New Roman" w:hAnsi="Times New Roman"/>
          <w:i/>
          <w:color w:val="auto"/>
        </w:rPr>
        <w:t>β</w:t>
      </w:r>
      <w:r w:rsidRPr="000565CF">
        <w:rPr>
          <w:rFonts w:ascii="Times New Roman" w:hAnsi="Times New Roman"/>
          <w:color w:val="auto"/>
        </w:rPr>
        <w:t xml:space="preserve"> of </w:t>
      </w:r>
      <w:r w:rsidRPr="000565CF">
        <w:rPr>
          <w:rFonts w:ascii="Times New Roman" w:hAnsi="Times New Roman"/>
          <w:i/>
          <w:color w:val="auto"/>
        </w:rPr>
        <w:t>q</w:t>
      </w:r>
      <w:r w:rsidRPr="000565CF">
        <w:rPr>
          <w:rFonts w:ascii="Times New Roman" w:hAnsi="Times New Roman"/>
          <w:color w:val="auto"/>
        </w:rPr>
        <w:t xml:space="preserve"> end-member compositions, and </w:t>
      </w:r>
      <w:r w:rsidRPr="000565CF">
        <w:rPr>
          <w:rFonts w:ascii="Times New Roman" w:hAnsi="Times New Roman"/>
          <w:i/>
          <w:color w:val="auto"/>
        </w:rPr>
        <w:t>e</w:t>
      </w:r>
      <w:r w:rsidRPr="000565CF">
        <w:rPr>
          <w:rFonts w:ascii="Times New Roman" w:hAnsi="Times New Roman"/>
          <w:color w:val="auto"/>
        </w:rPr>
        <w:t xml:space="preserve"> is </w:t>
      </w:r>
      <w:r>
        <w:rPr>
          <w:rFonts w:ascii="Times New Roman" w:hAnsi="Times New Roman"/>
          <w:color w:val="auto"/>
        </w:rPr>
        <w:t>the</w:t>
      </w:r>
      <w:r w:rsidRPr="000565CF">
        <w:rPr>
          <w:rFonts w:ascii="Times New Roman" w:hAnsi="Times New Roman"/>
          <w:color w:val="auto"/>
        </w:rPr>
        <w:t xml:space="preserve"> row vector of errors with </w:t>
      </w:r>
      <w:r w:rsidRPr="000565CF">
        <w:rPr>
          <w:rFonts w:ascii="Times New Roman" w:hAnsi="Times New Roman"/>
          <w:i/>
          <w:color w:val="auto"/>
        </w:rPr>
        <w:t>D</w:t>
      </w:r>
      <w:r w:rsidRPr="000565CF">
        <w:rPr>
          <w:rFonts w:ascii="Times New Roman" w:hAnsi="Times New Roman"/>
          <w:color w:val="auto"/>
        </w:rPr>
        <w:t xml:space="preserve"> columns representing variables. </w:t>
      </w:r>
    </w:p>
    <w:p w:rsidR="00753284" w:rsidRPr="000565CF" w:rsidRDefault="00753284" w:rsidP="009044A8">
      <w:pPr>
        <w:pStyle w:val="FreeFormA"/>
        <w:tabs>
          <w:tab w:val="left" w:pos="3686"/>
        </w:tabs>
        <w:spacing w:line="360" w:lineRule="auto"/>
        <w:jc w:val="both"/>
        <w:rPr>
          <w:rFonts w:ascii="Times New Roman" w:hAnsi="Times New Roman"/>
          <w:color w:val="auto"/>
        </w:rPr>
      </w:pPr>
      <w:r w:rsidRPr="000565CF">
        <w:rPr>
          <w:rFonts w:ascii="Times New Roman" w:hAnsi="Times New Roman"/>
          <w:color w:val="auto"/>
        </w:rPr>
        <w:t>In order to solve the linear</w:t>
      </w:r>
      <w:r>
        <w:rPr>
          <w:rFonts w:ascii="Times New Roman" w:hAnsi="Times New Roman"/>
          <w:color w:val="auto"/>
        </w:rPr>
        <w:t>-</w:t>
      </w:r>
      <w:r w:rsidRPr="000565CF">
        <w:rPr>
          <w:rFonts w:ascii="Times New Roman" w:hAnsi="Times New Roman"/>
          <w:color w:val="auto"/>
        </w:rPr>
        <w:t xml:space="preserve">regression problem, we must determine an estimation of the row vector </w:t>
      </w:r>
      <w:r w:rsidRPr="000565CF">
        <w:rPr>
          <w:rFonts w:ascii="Times New Roman" w:hAnsi="Times New Roman"/>
          <w:i/>
          <w:color w:val="auto"/>
        </w:rPr>
        <w:t>β</w:t>
      </w:r>
      <w:r w:rsidRPr="000565CF">
        <w:rPr>
          <w:rFonts w:ascii="Times New Roman" w:hAnsi="Times New Roman"/>
          <w:color w:val="auto"/>
        </w:rPr>
        <w:t xml:space="preserve"> describing a functional linear relation </w:t>
      </w:r>
      <w:r w:rsidRPr="000565CF">
        <w:rPr>
          <w:rFonts w:ascii="Times New Roman" w:hAnsi="Times New Roman"/>
          <w:i/>
          <w:color w:val="auto"/>
        </w:rPr>
        <w:t>b</w:t>
      </w:r>
      <w:r w:rsidRPr="000565CF">
        <w:rPr>
          <w:rFonts w:ascii="Times New Roman" w:hAnsi="Times New Roman"/>
          <w:color w:val="auto"/>
        </w:rPr>
        <w:t xml:space="preserve"> between a matrix of end-member compositions </w:t>
      </w:r>
      <w:r w:rsidRPr="000565CF">
        <w:rPr>
          <w:rFonts w:ascii="Times New Roman" w:hAnsi="Times New Roman"/>
          <w:i/>
          <w:color w:val="auto"/>
        </w:rPr>
        <w:t>X</w:t>
      </w:r>
      <w:r w:rsidRPr="000565CF">
        <w:rPr>
          <w:rFonts w:ascii="Times New Roman" w:hAnsi="Times New Roman"/>
          <w:color w:val="auto"/>
        </w:rPr>
        <w:t xml:space="preserve"> and an output row vector </w:t>
      </w:r>
      <w:r w:rsidRPr="000565CF">
        <w:rPr>
          <w:rFonts w:ascii="Times New Roman" w:hAnsi="Times New Roman"/>
          <w:i/>
          <w:color w:val="auto"/>
        </w:rPr>
        <w:t>y</w:t>
      </w:r>
      <w:r w:rsidRPr="000565CF">
        <w:rPr>
          <w:rFonts w:ascii="Times New Roman" w:hAnsi="Times New Roman"/>
          <w:color w:val="auto"/>
        </w:rPr>
        <w:t>. The solution of equation (</w:t>
      </w:r>
      <w:r>
        <w:rPr>
          <w:rFonts w:ascii="Times New Roman" w:hAnsi="Times New Roman"/>
          <w:color w:val="auto"/>
        </w:rPr>
        <w:t>2</w:t>
      </w:r>
      <w:r w:rsidRPr="000565CF">
        <w:rPr>
          <w:rFonts w:ascii="Times New Roman" w:hAnsi="Times New Roman"/>
          <w:color w:val="auto"/>
        </w:rPr>
        <w:t xml:space="preserve">) consists in the calculation of the row vector of coefficients </w:t>
      </w:r>
      <w:r w:rsidRPr="000565CF">
        <w:rPr>
          <w:rFonts w:ascii="Times New Roman" w:hAnsi="Times New Roman"/>
          <w:i/>
          <w:color w:val="auto"/>
        </w:rPr>
        <w:t>b</w:t>
      </w:r>
      <w:r w:rsidRPr="000565CF">
        <w:rPr>
          <w:rFonts w:ascii="Times New Roman" w:hAnsi="Times New Roman"/>
          <w:color w:val="auto"/>
        </w:rPr>
        <w:t xml:space="preserve"> such that</w:t>
      </w:r>
    </w:p>
    <w:p w:rsidR="00753284" w:rsidRPr="0064004B" w:rsidRDefault="00753284" w:rsidP="009044A8">
      <w:pPr>
        <w:pStyle w:val="FreeFormA"/>
        <w:tabs>
          <w:tab w:val="left" w:pos="3686"/>
        </w:tabs>
        <w:spacing w:line="360" w:lineRule="auto"/>
        <w:rPr>
          <w:rFonts w:ascii="Times New Roman" w:hAnsi="Times New Roman"/>
          <w:color w:val="00B050"/>
        </w:rPr>
      </w:pPr>
      <w:r w:rsidRPr="00A92D78">
        <w:rPr>
          <w:rFonts w:ascii="Times New Roman" w:hAnsi="Times New Roman"/>
          <w:color w:val="00B050"/>
          <w:position w:val="-10"/>
        </w:rPr>
        <w:object w:dxaOrig="1620" w:dyaOrig="340">
          <v:shape id="_x0000_i1027" type="#_x0000_t75" style="width:81pt;height:16.8pt" o:ole="">
            <v:imagedata r:id="rId9" o:title=""/>
          </v:shape>
          <o:OLEObject Type="Embed" ProgID="Equation.3" ShapeID="_x0000_i1027" DrawAspect="Content" ObjectID="_1526800552" r:id="rId10"/>
        </w:object>
      </w:r>
    </w:p>
    <w:p w:rsidR="00753284" w:rsidRPr="000565CF" w:rsidRDefault="00753284" w:rsidP="009044A8">
      <w:pPr>
        <w:pStyle w:val="FreeFormA"/>
        <w:tabs>
          <w:tab w:val="left" w:pos="3686"/>
        </w:tabs>
        <w:spacing w:line="360" w:lineRule="auto"/>
        <w:jc w:val="both"/>
        <w:rPr>
          <w:rFonts w:ascii="Times New Roman" w:hAnsi="Times New Roman"/>
          <w:color w:val="auto"/>
        </w:rPr>
      </w:pPr>
      <w:r w:rsidRPr="000565CF">
        <w:rPr>
          <w:rFonts w:ascii="Times New Roman" w:hAnsi="Times New Roman"/>
          <w:color w:val="auto"/>
        </w:rPr>
        <w:t>where</w:t>
      </w:r>
      <w:r w:rsidRPr="000565CF">
        <w:rPr>
          <w:color w:val="auto"/>
          <w:position w:val="-8"/>
        </w:rPr>
        <w:object w:dxaOrig="180" w:dyaOrig="300">
          <v:shape id="_x0000_i1028" type="#_x0000_t75" style="width:9pt;height:15pt" o:ole="">
            <v:imagedata r:id="rId11" o:title=""/>
          </v:shape>
          <o:OLEObject Type="Embed" ProgID="Equation.3" ShapeID="_x0000_i1028" DrawAspect="Content" ObjectID="_1526800553" r:id="rId12"/>
        </w:object>
      </w:r>
      <w:r w:rsidRPr="000565CF">
        <w:rPr>
          <w:rFonts w:ascii="Times New Roman" w:hAnsi="Times New Roman"/>
          <w:color w:val="auto"/>
        </w:rPr>
        <w:t xml:space="preserve">is a row vector of calculated compositional data with </w:t>
      </w:r>
      <w:r w:rsidRPr="000565CF">
        <w:rPr>
          <w:rFonts w:ascii="Times New Roman" w:hAnsi="Times New Roman"/>
          <w:i/>
          <w:color w:val="auto"/>
        </w:rPr>
        <w:t>D</w:t>
      </w:r>
      <w:r w:rsidRPr="000565CF">
        <w:rPr>
          <w:rFonts w:ascii="Times New Roman" w:hAnsi="Times New Roman"/>
          <w:color w:val="auto"/>
        </w:rPr>
        <w:t xml:space="preserve"> columns representing variables. This equation represents a forward mixing model (or "perfect mixing"). The model parameters are subject to the following non-negativi</w:t>
      </w:r>
      <w:r>
        <w:rPr>
          <w:rFonts w:ascii="Times New Roman" w:hAnsi="Times New Roman"/>
          <w:color w:val="auto"/>
        </w:rPr>
        <w:t>ty and constant-sum constraints</w:t>
      </w:r>
    </w:p>
    <w:p w:rsidR="00753284" w:rsidRPr="0064004B" w:rsidRDefault="00753284" w:rsidP="009044A8">
      <w:pPr>
        <w:widowControl w:val="0"/>
        <w:tabs>
          <w:tab w:val="left" w:pos="560"/>
          <w:tab w:val="left" w:pos="1120"/>
          <w:tab w:val="left" w:pos="1680"/>
          <w:tab w:val="left" w:pos="2240"/>
          <w:tab w:val="left" w:pos="2800"/>
          <w:tab w:val="left" w:pos="3360"/>
          <w:tab w:val="left" w:pos="3686"/>
          <w:tab w:val="left" w:pos="3920"/>
          <w:tab w:val="left" w:pos="4480"/>
          <w:tab w:val="left" w:pos="5040"/>
          <w:tab w:val="left" w:pos="5600"/>
          <w:tab w:val="left" w:pos="6160"/>
          <w:tab w:val="left" w:pos="6720"/>
        </w:tabs>
        <w:autoSpaceDE w:val="0"/>
        <w:autoSpaceDN w:val="0"/>
        <w:adjustRightInd w:val="0"/>
        <w:spacing w:line="360" w:lineRule="auto"/>
        <w:rPr>
          <w:color w:val="00B050"/>
        </w:rPr>
      </w:pPr>
      <w:r w:rsidRPr="0064004B">
        <w:rPr>
          <w:color w:val="00B050"/>
          <w:position w:val="-28"/>
        </w:rPr>
        <w:object w:dxaOrig="3240" w:dyaOrig="680">
          <v:shape id="_x0000_i1029" type="#_x0000_t75" style="width:162pt;height:34.2pt" o:ole="">
            <v:imagedata r:id="rId13" o:title=""/>
          </v:shape>
          <o:OLEObject Type="Embed" ProgID="Equation.3" ShapeID="_x0000_i1029" DrawAspect="Content" ObjectID="_1526800554" r:id="rId14"/>
        </w:object>
      </w:r>
    </w:p>
    <w:p w:rsidR="00753284" w:rsidRPr="0064004B" w:rsidRDefault="00753284" w:rsidP="009044A8">
      <w:pPr>
        <w:widowControl w:val="0"/>
        <w:tabs>
          <w:tab w:val="left" w:pos="560"/>
          <w:tab w:val="left" w:pos="1120"/>
          <w:tab w:val="left" w:pos="1680"/>
          <w:tab w:val="left" w:pos="2240"/>
          <w:tab w:val="left" w:pos="2800"/>
          <w:tab w:val="left" w:pos="3360"/>
          <w:tab w:val="left" w:pos="3686"/>
          <w:tab w:val="left" w:pos="3920"/>
          <w:tab w:val="left" w:pos="4480"/>
          <w:tab w:val="left" w:pos="5040"/>
          <w:tab w:val="left" w:pos="5600"/>
          <w:tab w:val="left" w:pos="6160"/>
          <w:tab w:val="left" w:pos="6720"/>
        </w:tabs>
        <w:autoSpaceDE w:val="0"/>
        <w:autoSpaceDN w:val="0"/>
        <w:adjustRightInd w:val="0"/>
        <w:spacing w:line="360" w:lineRule="auto"/>
        <w:rPr>
          <w:color w:val="00B050"/>
        </w:rPr>
      </w:pPr>
      <w:r w:rsidRPr="0064004B">
        <w:rPr>
          <w:color w:val="00B050"/>
          <w:position w:val="-30"/>
        </w:rPr>
        <w:object w:dxaOrig="3340" w:dyaOrig="700">
          <v:shape id="_x0000_i1030" type="#_x0000_t75" style="width:166.8pt;height:34.8pt" o:ole="">
            <v:imagedata r:id="rId15" o:title=""/>
          </v:shape>
          <o:OLEObject Type="Embed" ProgID="Equation.3" ShapeID="_x0000_i1030" DrawAspect="Content" ObjectID="_1526800555" r:id="rId16"/>
        </w:object>
      </w:r>
    </w:p>
    <w:p w:rsidR="00753284" w:rsidRPr="00753284" w:rsidRDefault="00753284" w:rsidP="009044A8">
      <w:pPr>
        <w:widowControl w:val="0"/>
        <w:tabs>
          <w:tab w:val="left" w:pos="560"/>
          <w:tab w:val="left" w:pos="1120"/>
          <w:tab w:val="left" w:pos="1680"/>
          <w:tab w:val="left" w:pos="2240"/>
          <w:tab w:val="left" w:pos="2800"/>
          <w:tab w:val="left" w:pos="3360"/>
          <w:tab w:val="left" w:pos="3686"/>
          <w:tab w:val="left" w:pos="3920"/>
          <w:tab w:val="left" w:pos="4480"/>
          <w:tab w:val="left" w:pos="5040"/>
          <w:tab w:val="left" w:pos="5600"/>
          <w:tab w:val="left" w:pos="6160"/>
          <w:tab w:val="left" w:pos="6720"/>
        </w:tabs>
        <w:autoSpaceDE w:val="0"/>
        <w:autoSpaceDN w:val="0"/>
        <w:adjustRightInd w:val="0"/>
        <w:spacing w:line="360" w:lineRule="auto"/>
        <w:rPr>
          <w:lang w:val="en-US"/>
        </w:rPr>
      </w:pPr>
      <w:r w:rsidRPr="00753284">
        <w:rPr>
          <w:lang w:val="en-US"/>
        </w:rPr>
        <w:t>It follows from equations (4) and (5) that</w:t>
      </w:r>
    </w:p>
    <w:p w:rsidR="00753284" w:rsidRPr="000565CF" w:rsidRDefault="00753284" w:rsidP="009044A8">
      <w:pPr>
        <w:pStyle w:val="FreeFormA"/>
        <w:tabs>
          <w:tab w:val="left" w:pos="3686"/>
        </w:tabs>
        <w:spacing w:line="360" w:lineRule="auto"/>
        <w:rPr>
          <w:rFonts w:ascii="Times New Roman" w:hAnsi="Times New Roman"/>
          <w:color w:val="auto"/>
        </w:rPr>
      </w:pPr>
      <w:r w:rsidRPr="000565CF">
        <w:rPr>
          <w:rFonts w:ascii="Times New Roman" w:hAnsi="Times New Roman"/>
          <w:color w:val="auto"/>
          <w:position w:val="-30"/>
        </w:rPr>
        <w:object w:dxaOrig="3320" w:dyaOrig="700">
          <v:shape id="_x0000_i1031" type="#_x0000_t75" style="width:166.2pt;height:34.8pt" o:ole="">
            <v:imagedata r:id="rId17" o:title=""/>
          </v:shape>
          <o:OLEObject Type="Embed" ProgID="Equation.3" ShapeID="_x0000_i1031" DrawAspect="Content" ObjectID="_1526800556" r:id="rId18"/>
        </w:object>
      </w:r>
    </w:p>
    <w:p w:rsidR="00753284" w:rsidRPr="000565CF" w:rsidRDefault="00753284" w:rsidP="009044A8">
      <w:pPr>
        <w:pStyle w:val="FreeFormA"/>
        <w:tabs>
          <w:tab w:val="left" w:pos="3686"/>
        </w:tabs>
        <w:spacing w:line="360" w:lineRule="auto"/>
        <w:rPr>
          <w:rFonts w:ascii="Times New Roman" w:hAnsi="Times New Roman"/>
          <w:color w:val="auto"/>
        </w:rPr>
      </w:pPr>
      <w:r>
        <w:rPr>
          <w:rFonts w:ascii="Times New Roman" w:hAnsi="Times New Roman"/>
          <w:color w:val="auto"/>
        </w:rPr>
        <w:t>and thus</w:t>
      </w:r>
    </w:p>
    <w:p w:rsidR="00753284" w:rsidRPr="000565CF" w:rsidRDefault="00753284" w:rsidP="009044A8">
      <w:pPr>
        <w:pStyle w:val="FreeFormA"/>
        <w:tabs>
          <w:tab w:val="left" w:pos="3686"/>
        </w:tabs>
        <w:spacing w:line="360" w:lineRule="auto"/>
        <w:rPr>
          <w:rFonts w:ascii="Times New Roman" w:hAnsi="Times New Roman"/>
          <w:color w:val="auto"/>
        </w:rPr>
      </w:pPr>
      <w:r w:rsidRPr="000565CF">
        <w:rPr>
          <w:rFonts w:ascii="Times New Roman" w:hAnsi="Times New Roman"/>
          <w:color w:val="auto"/>
          <w:position w:val="-30"/>
        </w:rPr>
        <w:object w:dxaOrig="1800" w:dyaOrig="700">
          <v:shape id="_x0000_i1032" type="#_x0000_t75" style="width:90pt;height:34.8pt" o:ole="">
            <v:imagedata r:id="rId19" o:title=""/>
          </v:shape>
          <o:OLEObject Type="Embed" ProgID="Equation.3" ShapeID="_x0000_i1032" DrawAspect="Content" ObjectID="_1526800557" r:id="rId20"/>
        </w:object>
      </w:r>
    </w:p>
    <w:p w:rsidR="00753284" w:rsidRPr="000565CF" w:rsidRDefault="00753284" w:rsidP="009044A8">
      <w:pPr>
        <w:pStyle w:val="FreeFormA"/>
        <w:tabs>
          <w:tab w:val="left" w:pos="3686"/>
        </w:tabs>
        <w:spacing w:line="360" w:lineRule="auto"/>
        <w:jc w:val="both"/>
        <w:rPr>
          <w:rFonts w:ascii="Times New Roman" w:hAnsi="Times New Roman"/>
          <w:color w:val="auto"/>
        </w:rPr>
      </w:pPr>
      <w:r>
        <w:rPr>
          <w:rFonts w:ascii="Times New Roman" w:hAnsi="Times New Roman"/>
          <w:color w:val="auto"/>
        </w:rPr>
        <w:t>The g</w:t>
      </w:r>
      <w:r w:rsidRPr="000565CF">
        <w:rPr>
          <w:rFonts w:ascii="Times New Roman" w:hAnsi="Times New Roman"/>
          <w:color w:val="auto"/>
        </w:rPr>
        <w:t xml:space="preserve">oodness of </w:t>
      </w:r>
      <w:proofErr w:type="spellStart"/>
      <w:r w:rsidRPr="000565CF">
        <w:rPr>
          <w:rFonts w:ascii="Times New Roman" w:hAnsi="Times New Roman"/>
          <w:color w:val="auto"/>
        </w:rPr>
        <w:t>ﬁt</w:t>
      </w:r>
      <w:proofErr w:type="spellEnd"/>
      <w:r w:rsidRPr="000565CF">
        <w:rPr>
          <w:rFonts w:ascii="Times New Roman" w:hAnsi="Times New Roman"/>
          <w:color w:val="auto"/>
        </w:rPr>
        <w:t xml:space="preserve"> of the forward mixing model can be assessed by the coefficient of multiple correlation </w:t>
      </w:r>
      <w:r w:rsidRPr="000565CF">
        <w:rPr>
          <w:rFonts w:ascii="Times New Roman" w:hAnsi="Times New Roman"/>
          <w:i/>
          <w:color w:val="auto"/>
        </w:rPr>
        <w:t>R</w:t>
      </w:r>
      <w:r>
        <w:rPr>
          <w:rFonts w:ascii="Times New Roman" w:hAnsi="Times New Roman"/>
          <w:i/>
          <w:color w:val="auto"/>
        </w:rPr>
        <w:t xml:space="preserve"> </w:t>
      </w:r>
    </w:p>
    <w:p w:rsidR="00753284" w:rsidRPr="000565CF" w:rsidRDefault="00753284" w:rsidP="009044A8">
      <w:pPr>
        <w:widowControl w:val="0"/>
        <w:tabs>
          <w:tab w:val="left" w:pos="560"/>
          <w:tab w:val="left" w:pos="1120"/>
          <w:tab w:val="left" w:pos="1680"/>
          <w:tab w:val="left" w:pos="2240"/>
          <w:tab w:val="left" w:pos="2800"/>
          <w:tab w:val="left" w:pos="3360"/>
          <w:tab w:val="left" w:pos="3686"/>
          <w:tab w:val="left" w:pos="3920"/>
          <w:tab w:val="left" w:pos="4480"/>
          <w:tab w:val="left" w:pos="5040"/>
          <w:tab w:val="left" w:pos="5600"/>
          <w:tab w:val="left" w:pos="6160"/>
          <w:tab w:val="left" w:pos="6720"/>
        </w:tabs>
        <w:autoSpaceDE w:val="0"/>
        <w:autoSpaceDN w:val="0"/>
        <w:adjustRightInd w:val="0"/>
        <w:spacing w:line="360" w:lineRule="auto"/>
      </w:pPr>
      <w:r w:rsidRPr="00A92D78">
        <w:rPr>
          <w:position w:val="-12"/>
        </w:rPr>
        <w:object w:dxaOrig="2940" w:dyaOrig="400">
          <v:shape id="_x0000_i1033" type="#_x0000_t75" style="width:147pt;height:19.8pt" o:ole="">
            <v:imagedata r:id="rId21" o:title=""/>
          </v:shape>
          <o:OLEObject Type="Embed" ProgID="Equation.3" ShapeID="_x0000_i1033" DrawAspect="Content" ObjectID="_1526800558" r:id="rId22"/>
        </w:object>
      </w:r>
    </w:p>
    <w:p w:rsidR="00753284" w:rsidRPr="00753284" w:rsidRDefault="00753284" w:rsidP="009044A8">
      <w:pPr>
        <w:widowControl w:val="0"/>
        <w:tabs>
          <w:tab w:val="left" w:pos="560"/>
          <w:tab w:val="left" w:pos="1120"/>
          <w:tab w:val="left" w:pos="1680"/>
          <w:tab w:val="left" w:pos="2240"/>
          <w:tab w:val="left" w:pos="2800"/>
          <w:tab w:val="left" w:pos="3360"/>
          <w:tab w:val="left" w:pos="3686"/>
          <w:tab w:val="left" w:pos="3920"/>
          <w:tab w:val="left" w:pos="4480"/>
          <w:tab w:val="left" w:pos="5040"/>
          <w:tab w:val="left" w:pos="5600"/>
          <w:tab w:val="left" w:pos="6160"/>
          <w:tab w:val="left" w:pos="6720"/>
        </w:tabs>
        <w:autoSpaceDE w:val="0"/>
        <w:autoSpaceDN w:val="0"/>
        <w:adjustRightInd w:val="0"/>
        <w:spacing w:line="360" w:lineRule="auto"/>
        <w:rPr>
          <w:lang w:val="en-US"/>
        </w:rPr>
      </w:pPr>
      <w:r w:rsidRPr="00753284">
        <w:rPr>
          <w:lang w:val="en-US"/>
        </w:rPr>
        <w:lastRenderedPageBreak/>
        <w:t xml:space="preserve">where </w:t>
      </w:r>
      <w:r w:rsidRPr="00753284">
        <w:rPr>
          <w:i/>
          <w:lang w:val="en-US"/>
        </w:rPr>
        <w:t>RSS</w:t>
      </w:r>
      <w:r w:rsidRPr="00753284">
        <w:rPr>
          <w:lang w:val="en-US"/>
        </w:rPr>
        <w:t xml:space="preserve"> is the residual sum of squares</w:t>
      </w:r>
    </w:p>
    <w:p w:rsidR="00753284" w:rsidRPr="00753284" w:rsidRDefault="00753284" w:rsidP="009044A8">
      <w:pPr>
        <w:widowControl w:val="0"/>
        <w:tabs>
          <w:tab w:val="left" w:pos="560"/>
          <w:tab w:val="left" w:pos="1120"/>
          <w:tab w:val="left" w:pos="1680"/>
          <w:tab w:val="left" w:pos="2240"/>
          <w:tab w:val="left" w:pos="2800"/>
          <w:tab w:val="left" w:pos="3360"/>
          <w:tab w:val="left" w:pos="3686"/>
          <w:tab w:val="left" w:pos="3920"/>
          <w:tab w:val="left" w:pos="4480"/>
          <w:tab w:val="left" w:pos="5040"/>
          <w:tab w:val="left" w:pos="5600"/>
          <w:tab w:val="left" w:pos="6160"/>
          <w:tab w:val="left" w:pos="6720"/>
        </w:tabs>
        <w:autoSpaceDE w:val="0"/>
        <w:autoSpaceDN w:val="0"/>
        <w:adjustRightInd w:val="0"/>
        <w:spacing w:line="360" w:lineRule="auto"/>
        <w:rPr>
          <w:lang w:val="en-US"/>
        </w:rPr>
      </w:pPr>
      <w:r w:rsidRPr="000565CF">
        <w:rPr>
          <w:position w:val="-16"/>
        </w:rPr>
        <w:object w:dxaOrig="2740" w:dyaOrig="420">
          <v:shape id="_x0000_i1034" type="#_x0000_t75" style="width:136.8pt;height:21pt" o:ole="">
            <v:imagedata r:id="rId23" o:title=""/>
          </v:shape>
          <o:OLEObject Type="Embed" ProgID="Equation.3" ShapeID="_x0000_i1034" DrawAspect="Content" ObjectID="_1526800559" r:id="rId24"/>
        </w:object>
      </w:r>
      <w:r w:rsidRPr="00753284">
        <w:rPr>
          <w:lang w:val="en-US"/>
        </w:rPr>
        <w:t xml:space="preserve">, </w:t>
      </w:r>
    </w:p>
    <w:p w:rsidR="00753284" w:rsidRPr="00753284" w:rsidRDefault="00753284" w:rsidP="009044A8">
      <w:pPr>
        <w:widowControl w:val="0"/>
        <w:tabs>
          <w:tab w:val="left" w:pos="560"/>
          <w:tab w:val="left" w:pos="1120"/>
          <w:tab w:val="left" w:pos="1680"/>
          <w:tab w:val="left" w:pos="2240"/>
          <w:tab w:val="left" w:pos="2800"/>
          <w:tab w:val="left" w:pos="3360"/>
          <w:tab w:val="left" w:pos="3686"/>
          <w:tab w:val="left" w:pos="3920"/>
          <w:tab w:val="left" w:pos="4480"/>
          <w:tab w:val="left" w:pos="5040"/>
          <w:tab w:val="left" w:pos="5600"/>
          <w:tab w:val="left" w:pos="6160"/>
          <w:tab w:val="left" w:pos="6720"/>
        </w:tabs>
        <w:autoSpaceDE w:val="0"/>
        <w:autoSpaceDN w:val="0"/>
        <w:adjustRightInd w:val="0"/>
        <w:spacing w:line="360" w:lineRule="auto"/>
        <w:rPr>
          <w:lang w:val="en-US"/>
        </w:rPr>
      </w:pPr>
      <w:r w:rsidRPr="00753284">
        <w:rPr>
          <w:lang w:val="en-US"/>
        </w:rPr>
        <w:t xml:space="preserve">and </w:t>
      </w:r>
      <w:r w:rsidRPr="00753284">
        <w:rPr>
          <w:i/>
          <w:lang w:val="en-US"/>
        </w:rPr>
        <w:t>TSS</w:t>
      </w:r>
      <w:r w:rsidRPr="00753284">
        <w:rPr>
          <w:lang w:val="en-US"/>
        </w:rPr>
        <w:t xml:space="preserve"> is the total sum of squares</w:t>
      </w:r>
    </w:p>
    <w:p w:rsidR="00753284" w:rsidRPr="000565CF" w:rsidRDefault="00753284" w:rsidP="009044A8">
      <w:pPr>
        <w:widowControl w:val="0"/>
        <w:tabs>
          <w:tab w:val="left" w:pos="560"/>
          <w:tab w:val="left" w:pos="1120"/>
          <w:tab w:val="left" w:pos="1680"/>
          <w:tab w:val="left" w:pos="2240"/>
          <w:tab w:val="left" w:pos="2800"/>
          <w:tab w:val="left" w:pos="3360"/>
          <w:tab w:val="left" w:pos="3686"/>
          <w:tab w:val="left" w:pos="3920"/>
          <w:tab w:val="left" w:pos="4480"/>
          <w:tab w:val="left" w:pos="5040"/>
          <w:tab w:val="left" w:pos="5600"/>
          <w:tab w:val="left" w:pos="6160"/>
          <w:tab w:val="left" w:pos="6720"/>
        </w:tabs>
        <w:autoSpaceDE w:val="0"/>
        <w:autoSpaceDN w:val="0"/>
        <w:adjustRightInd w:val="0"/>
        <w:spacing w:line="360" w:lineRule="auto"/>
      </w:pPr>
      <w:r w:rsidRPr="000565CF">
        <w:rPr>
          <w:position w:val="-16"/>
        </w:rPr>
        <w:object w:dxaOrig="2820" w:dyaOrig="420">
          <v:shape id="_x0000_i1035" type="#_x0000_t75" style="width:141pt;height:21pt" o:ole="">
            <v:imagedata r:id="rId25" o:title=""/>
          </v:shape>
          <o:OLEObject Type="Embed" ProgID="Equation.3" ShapeID="_x0000_i1035" DrawAspect="Content" ObjectID="_1526800560" r:id="rId26"/>
        </w:object>
      </w:r>
    </w:p>
    <w:p w:rsidR="00753284" w:rsidRDefault="00753284" w:rsidP="009044A8">
      <w:pPr>
        <w:pStyle w:val="FreeFormA"/>
        <w:tabs>
          <w:tab w:val="left" w:pos="3686"/>
        </w:tabs>
        <w:spacing w:line="360" w:lineRule="auto"/>
        <w:jc w:val="both"/>
        <w:rPr>
          <w:rFonts w:ascii="Times New Roman" w:hAnsi="Times New Roman"/>
          <w:color w:val="auto"/>
        </w:rPr>
      </w:pPr>
      <w:r w:rsidRPr="000565CF">
        <w:rPr>
          <w:rFonts w:ascii="Times New Roman" w:hAnsi="Times New Roman"/>
          <w:color w:val="auto"/>
        </w:rPr>
        <w:t>The</w:t>
      </w:r>
      <w:r>
        <w:rPr>
          <w:rFonts w:ascii="Times New Roman" w:hAnsi="Times New Roman"/>
          <w:color w:val="auto"/>
        </w:rPr>
        <w:t xml:space="preserve"> coefficient </w:t>
      </w:r>
      <w:r w:rsidRPr="000565CF">
        <w:rPr>
          <w:rFonts w:ascii="Times New Roman" w:hAnsi="Times New Roman"/>
          <w:i/>
          <w:color w:val="auto"/>
        </w:rPr>
        <w:t>R</w:t>
      </w:r>
      <w:r w:rsidRPr="000565CF">
        <w:rPr>
          <w:rFonts w:ascii="Times New Roman" w:hAnsi="Times New Roman"/>
          <w:color w:val="auto"/>
        </w:rPr>
        <w:t xml:space="preserve"> departs from a decomposition of the total sum of squares into the “explained” sum of squares (the sum of squares of predicted values, in deviations from the mean) and the residual sum of squares. </w:t>
      </w:r>
      <w:r w:rsidRPr="000565CF">
        <w:rPr>
          <w:rFonts w:ascii="Times New Roman" w:hAnsi="Times New Roman"/>
          <w:i/>
          <w:color w:val="auto"/>
        </w:rPr>
        <w:t>R</w:t>
      </w:r>
      <w:r w:rsidRPr="000565CF">
        <w:rPr>
          <w:rFonts w:ascii="Times New Roman" w:hAnsi="Times New Roman"/>
          <w:color w:val="auto"/>
        </w:rPr>
        <w:t xml:space="preserve"> is a measure of the extent to which the total variation of the dependent variable is explained by the forward model. The </w:t>
      </w:r>
      <w:r w:rsidRPr="000565CF">
        <w:rPr>
          <w:rFonts w:ascii="Times New Roman" w:hAnsi="Times New Roman"/>
          <w:i/>
          <w:color w:val="auto"/>
        </w:rPr>
        <w:t xml:space="preserve">R </w:t>
      </w:r>
      <w:r w:rsidRPr="000565CF">
        <w:rPr>
          <w:rFonts w:ascii="Times New Roman" w:hAnsi="Times New Roman"/>
          <w:color w:val="auto"/>
        </w:rPr>
        <w:t xml:space="preserve">statistic takes on a value between </w:t>
      </w:r>
      <w:r>
        <w:rPr>
          <w:rFonts w:ascii="Times New Roman" w:hAnsi="Times New Roman"/>
          <w:color w:val="auto"/>
        </w:rPr>
        <w:t>0</w:t>
      </w:r>
      <w:r w:rsidRPr="000565CF">
        <w:rPr>
          <w:rFonts w:ascii="Times New Roman" w:hAnsi="Times New Roman"/>
          <w:color w:val="auto"/>
        </w:rPr>
        <w:t xml:space="preserve"> and </w:t>
      </w:r>
      <w:r>
        <w:rPr>
          <w:rFonts w:ascii="Times New Roman" w:hAnsi="Times New Roman"/>
          <w:color w:val="auto"/>
        </w:rPr>
        <w:t>1</w:t>
      </w:r>
      <w:r w:rsidRPr="000565CF">
        <w:rPr>
          <w:rFonts w:ascii="Times New Roman" w:hAnsi="Times New Roman"/>
          <w:color w:val="auto"/>
        </w:rPr>
        <w:t xml:space="preserve">. A value of </w:t>
      </w:r>
      <w:r w:rsidRPr="000565CF">
        <w:rPr>
          <w:rFonts w:ascii="Times New Roman" w:hAnsi="Times New Roman"/>
          <w:i/>
          <w:color w:val="auto"/>
        </w:rPr>
        <w:t>R</w:t>
      </w:r>
      <w:r>
        <w:rPr>
          <w:rFonts w:ascii="Times New Roman" w:hAnsi="Times New Roman"/>
          <w:color w:val="auto"/>
        </w:rPr>
        <w:t xml:space="preserve"> close to 1, </w:t>
      </w:r>
      <w:r w:rsidRPr="000565CF">
        <w:rPr>
          <w:rFonts w:ascii="Times New Roman" w:hAnsi="Times New Roman"/>
          <w:color w:val="auto"/>
        </w:rPr>
        <w:t xml:space="preserve">suggesting that the model explains </w:t>
      </w:r>
      <w:r>
        <w:rPr>
          <w:rFonts w:ascii="Times New Roman" w:hAnsi="Times New Roman"/>
          <w:color w:val="auto"/>
        </w:rPr>
        <w:t xml:space="preserve">well </w:t>
      </w:r>
      <w:r w:rsidRPr="000565CF">
        <w:rPr>
          <w:rFonts w:ascii="Times New Roman" w:hAnsi="Times New Roman"/>
          <w:color w:val="auto"/>
        </w:rPr>
        <w:t>the variation in the dependent variable, is obviously important if one wishes to use the model for predictive or forecasting purposes.</w:t>
      </w:r>
      <w:r>
        <w:rPr>
          <w:rFonts w:ascii="Times New Roman" w:hAnsi="Times New Roman"/>
          <w:color w:val="auto"/>
        </w:rPr>
        <w:t xml:space="preserve"> </w:t>
      </w:r>
      <w:r w:rsidRPr="000565CF">
        <w:rPr>
          <w:rFonts w:ascii="Times New Roman" w:hAnsi="Times New Roman"/>
          <w:color w:val="auto"/>
        </w:rPr>
        <w:t xml:space="preserve">In provenance studies, </w:t>
      </w:r>
      <w:r>
        <w:rPr>
          <w:rFonts w:ascii="Times New Roman" w:hAnsi="Times New Roman"/>
          <w:color w:val="auto"/>
        </w:rPr>
        <w:t xml:space="preserve">the coefficient of </w:t>
      </w:r>
      <w:r w:rsidRPr="000565CF">
        <w:rPr>
          <w:rFonts w:ascii="Times New Roman" w:hAnsi="Times New Roman"/>
          <w:color w:val="auto"/>
        </w:rPr>
        <w:t xml:space="preserve">multiple correlation </w:t>
      </w:r>
      <w:r w:rsidRPr="00B46A21">
        <w:rPr>
          <w:rFonts w:ascii="Times New Roman" w:hAnsi="Times New Roman"/>
          <w:i/>
          <w:color w:val="auto"/>
        </w:rPr>
        <w:t>R</w:t>
      </w:r>
      <w:r w:rsidRPr="007E7AEB">
        <w:rPr>
          <w:rFonts w:ascii="Times New Roman" w:hAnsi="Times New Roman"/>
          <w:color w:val="auto"/>
        </w:rPr>
        <w:t xml:space="preserve"> measures the similarity between </w:t>
      </w:r>
      <w:r>
        <w:rPr>
          <w:rFonts w:ascii="Times New Roman" w:hAnsi="Times New Roman"/>
          <w:color w:val="auto"/>
        </w:rPr>
        <w:t xml:space="preserve">theoretical </w:t>
      </w:r>
      <w:r w:rsidRPr="007E7AEB">
        <w:rPr>
          <w:rFonts w:ascii="Times New Roman" w:hAnsi="Times New Roman"/>
          <w:color w:val="auto"/>
        </w:rPr>
        <w:t xml:space="preserve">detrital modes of sediments supplied by </w:t>
      </w:r>
      <w:r>
        <w:rPr>
          <w:rFonts w:ascii="Times New Roman" w:hAnsi="Times New Roman"/>
          <w:color w:val="auto"/>
        </w:rPr>
        <w:t xml:space="preserve">different combinations of </w:t>
      </w:r>
      <w:r w:rsidRPr="007E7AEB">
        <w:rPr>
          <w:rFonts w:ascii="Times New Roman" w:hAnsi="Times New Roman"/>
          <w:color w:val="auto"/>
        </w:rPr>
        <w:t xml:space="preserve">diverse end-members sources and the </w:t>
      </w:r>
      <w:r>
        <w:rPr>
          <w:rFonts w:ascii="Times New Roman" w:hAnsi="Times New Roman"/>
          <w:color w:val="auto"/>
        </w:rPr>
        <w:t xml:space="preserve">observed </w:t>
      </w:r>
      <w:r w:rsidRPr="007E7AEB">
        <w:rPr>
          <w:rFonts w:ascii="Times New Roman" w:hAnsi="Times New Roman"/>
          <w:color w:val="auto"/>
        </w:rPr>
        <w:t>detrital mode of one trunk-river sediment or sedimentary rock in the basin.</w:t>
      </w:r>
    </w:p>
    <w:p w:rsidR="00737FFB" w:rsidRDefault="00737FFB" w:rsidP="009044A8">
      <w:pPr>
        <w:tabs>
          <w:tab w:val="left" w:pos="3686"/>
        </w:tabs>
        <w:rPr>
          <w:rFonts w:eastAsia="ヒラギノ角ゴ Pro W3"/>
          <w:szCs w:val="20"/>
          <w:lang w:val="en-US"/>
        </w:rPr>
      </w:pPr>
    </w:p>
    <w:p w:rsidR="00024502" w:rsidRDefault="00024502" w:rsidP="009044A8">
      <w:pPr>
        <w:tabs>
          <w:tab w:val="left" w:pos="3686"/>
        </w:tabs>
        <w:rPr>
          <w:rFonts w:eastAsia="ヒラギノ角ゴ Pro W3"/>
          <w:szCs w:val="20"/>
          <w:lang w:val="en-US"/>
        </w:rPr>
      </w:pPr>
    </w:p>
    <w:p w:rsidR="00673ED3" w:rsidRDefault="00673ED3" w:rsidP="009044A8">
      <w:pPr>
        <w:tabs>
          <w:tab w:val="left" w:pos="3686"/>
        </w:tabs>
        <w:spacing w:line="360" w:lineRule="auto"/>
        <w:rPr>
          <w:b/>
          <w:sz w:val="28"/>
          <w:szCs w:val="28"/>
          <w:lang w:val="en-US"/>
        </w:rPr>
      </w:pPr>
      <w:r>
        <w:rPr>
          <w:b/>
          <w:sz w:val="28"/>
          <w:szCs w:val="28"/>
          <w:lang w:val="en-US"/>
        </w:rPr>
        <w:t xml:space="preserve">TABLE CAPTIONS </w:t>
      </w:r>
    </w:p>
    <w:p w:rsidR="00673ED3" w:rsidRPr="001D5FBD" w:rsidRDefault="00673ED3" w:rsidP="009044A8">
      <w:pPr>
        <w:tabs>
          <w:tab w:val="left" w:pos="3686"/>
        </w:tabs>
        <w:autoSpaceDE w:val="0"/>
        <w:autoSpaceDN w:val="0"/>
        <w:adjustRightInd w:val="0"/>
        <w:spacing w:line="360" w:lineRule="auto"/>
        <w:jc w:val="both"/>
        <w:rPr>
          <w:lang w:val="en-GB"/>
        </w:rPr>
      </w:pPr>
    </w:p>
    <w:p w:rsidR="00673ED3" w:rsidRPr="001C0DAD" w:rsidRDefault="00673ED3" w:rsidP="009044A8">
      <w:pPr>
        <w:tabs>
          <w:tab w:val="left" w:pos="3686"/>
        </w:tabs>
        <w:spacing w:line="360" w:lineRule="auto"/>
        <w:jc w:val="both"/>
        <w:rPr>
          <w:lang w:val="en-US"/>
        </w:rPr>
      </w:pPr>
      <w:r w:rsidRPr="001C0DAD">
        <w:rPr>
          <w:b/>
          <w:lang w:val="en-US"/>
        </w:rPr>
        <w:t xml:space="preserve">Table A1. Sample location. </w:t>
      </w:r>
      <w:r w:rsidRPr="001C0DAD">
        <w:rPr>
          <w:lang w:val="en-US"/>
        </w:rPr>
        <w:t xml:space="preserve">Location of the studied sediment samples with year of sampling (see also the Google Earth file </w:t>
      </w:r>
      <w:r w:rsidRPr="00673ED3">
        <w:rPr>
          <w:i/>
          <w:color w:val="0000FF"/>
          <w:lang w:val="en-US"/>
        </w:rPr>
        <w:t>Irrawaddy.km</w:t>
      </w:r>
      <w:r>
        <w:rPr>
          <w:i/>
          <w:color w:val="0000FF"/>
          <w:lang w:val="en-US"/>
        </w:rPr>
        <w:t>l</w:t>
      </w:r>
      <w:r w:rsidRPr="001C0DAD">
        <w:rPr>
          <w:lang w:val="en-US"/>
        </w:rPr>
        <w:t>).</w:t>
      </w:r>
    </w:p>
    <w:p w:rsidR="00673ED3" w:rsidRDefault="00673ED3" w:rsidP="009044A8">
      <w:pPr>
        <w:tabs>
          <w:tab w:val="left" w:pos="3686"/>
        </w:tabs>
        <w:spacing w:line="360" w:lineRule="auto"/>
        <w:jc w:val="both"/>
        <w:rPr>
          <w:b/>
          <w:lang w:val="en-US"/>
        </w:rPr>
      </w:pPr>
    </w:p>
    <w:p w:rsidR="00673ED3" w:rsidRPr="00673ED3" w:rsidRDefault="00673ED3" w:rsidP="009044A8">
      <w:pPr>
        <w:tabs>
          <w:tab w:val="left" w:pos="3686"/>
        </w:tabs>
        <w:spacing w:line="360" w:lineRule="auto"/>
        <w:jc w:val="both"/>
        <w:rPr>
          <w:bCs/>
          <w:lang w:val="en-US"/>
        </w:rPr>
      </w:pPr>
      <w:r w:rsidRPr="001C0DAD">
        <w:rPr>
          <w:b/>
          <w:lang w:val="en-US"/>
        </w:rPr>
        <w:t>Table A2. Sand petrography.</w:t>
      </w:r>
      <w:r w:rsidRPr="00673ED3">
        <w:rPr>
          <w:bCs/>
          <w:color w:val="FF0000"/>
          <w:lang w:val="en-US"/>
        </w:rPr>
        <w:t xml:space="preserve"> </w:t>
      </w:r>
      <w:r w:rsidRPr="00673ED3">
        <w:rPr>
          <w:bCs/>
          <w:lang w:val="en-US"/>
        </w:rPr>
        <w:t>GSZ= grain size. Q= quartz (</w:t>
      </w:r>
      <w:proofErr w:type="spellStart"/>
      <w:r w:rsidRPr="00673ED3">
        <w:rPr>
          <w:bCs/>
          <w:lang w:val="en-US"/>
        </w:rPr>
        <w:t>Qp</w:t>
      </w:r>
      <w:proofErr w:type="spellEnd"/>
      <w:r w:rsidRPr="00673ED3">
        <w:rPr>
          <w:bCs/>
          <w:lang w:val="en-US"/>
        </w:rPr>
        <w:t xml:space="preserve">= polycrystalline); F= feldspars (KF= K-feldspar; P= plagioclase; </w:t>
      </w:r>
      <w:proofErr w:type="spellStart"/>
      <w:r w:rsidRPr="00673ED3">
        <w:rPr>
          <w:bCs/>
          <w:lang w:val="en-US"/>
        </w:rPr>
        <w:t>Mic</w:t>
      </w:r>
      <w:proofErr w:type="spellEnd"/>
      <w:r w:rsidRPr="00673ED3">
        <w:rPr>
          <w:bCs/>
          <w:lang w:val="en-US"/>
        </w:rPr>
        <w:t xml:space="preserve">= microcline); L= </w:t>
      </w:r>
      <w:proofErr w:type="spellStart"/>
      <w:r w:rsidRPr="00673ED3">
        <w:rPr>
          <w:bCs/>
          <w:lang w:val="en-US"/>
        </w:rPr>
        <w:t>aphanitic</w:t>
      </w:r>
      <w:proofErr w:type="spellEnd"/>
      <w:r w:rsidRPr="00673ED3">
        <w:rPr>
          <w:bCs/>
          <w:lang w:val="en-US"/>
        </w:rPr>
        <w:t xml:space="preserve"> </w:t>
      </w:r>
      <w:proofErr w:type="spellStart"/>
      <w:r w:rsidRPr="00673ED3">
        <w:rPr>
          <w:bCs/>
          <w:lang w:val="en-US"/>
        </w:rPr>
        <w:t>lithic</w:t>
      </w:r>
      <w:proofErr w:type="spellEnd"/>
      <w:r w:rsidRPr="00673ED3">
        <w:rPr>
          <w:bCs/>
          <w:lang w:val="en-US"/>
        </w:rPr>
        <w:t xml:space="preserve"> grains (</w:t>
      </w:r>
      <w:proofErr w:type="spellStart"/>
      <w:r w:rsidRPr="00673ED3">
        <w:rPr>
          <w:bCs/>
          <w:lang w:val="en-US"/>
        </w:rPr>
        <w:t>Lv</w:t>
      </w:r>
      <w:proofErr w:type="spellEnd"/>
      <w:r w:rsidRPr="00673ED3">
        <w:rPr>
          <w:bCs/>
          <w:lang w:val="en-US"/>
        </w:rPr>
        <w:t xml:space="preserve">= volcanic ; Ls= sedimentary ; </w:t>
      </w:r>
      <w:proofErr w:type="spellStart"/>
      <w:r w:rsidRPr="00673ED3">
        <w:rPr>
          <w:bCs/>
          <w:lang w:val="en-US"/>
        </w:rPr>
        <w:t>Lc</w:t>
      </w:r>
      <w:proofErr w:type="spellEnd"/>
      <w:r w:rsidRPr="00673ED3">
        <w:rPr>
          <w:bCs/>
          <w:lang w:val="en-US"/>
        </w:rPr>
        <w:t xml:space="preserve">= carbonate; </w:t>
      </w:r>
      <w:proofErr w:type="spellStart"/>
      <w:r w:rsidRPr="00673ED3">
        <w:rPr>
          <w:bCs/>
          <w:lang w:val="en-US"/>
        </w:rPr>
        <w:t>Lch</w:t>
      </w:r>
      <w:proofErr w:type="spellEnd"/>
      <w:r w:rsidRPr="00673ED3">
        <w:rPr>
          <w:bCs/>
          <w:lang w:val="en-US"/>
        </w:rPr>
        <w:t xml:space="preserve">= </w:t>
      </w:r>
      <w:proofErr w:type="spellStart"/>
      <w:r w:rsidRPr="00673ED3">
        <w:rPr>
          <w:bCs/>
          <w:lang w:val="en-US"/>
        </w:rPr>
        <w:t>chert</w:t>
      </w:r>
      <w:proofErr w:type="spellEnd"/>
      <w:r w:rsidRPr="00673ED3">
        <w:rPr>
          <w:bCs/>
          <w:lang w:val="en-US"/>
        </w:rPr>
        <w:t xml:space="preserve">; </w:t>
      </w:r>
      <w:proofErr w:type="spellStart"/>
      <w:r w:rsidRPr="00673ED3">
        <w:rPr>
          <w:bCs/>
          <w:lang w:val="en-US"/>
        </w:rPr>
        <w:t>Lms</w:t>
      </w:r>
      <w:proofErr w:type="spellEnd"/>
      <w:r w:rsidRPr="00673ED3">
        <w:rPr>
          <w:bCs/>
          <w:lang w:val="en-US"/>
        </w:rPr>
        <w:t xml:space="preserve">= </w:t>
      </w:r>
      <w:proofErr w:type="spellStart"/>
      <w:r w:rsidRPr="00673ED3">
        <w:rPr>
          <w:bCs/>
          <w:lang w:val="en-US"/>
        </w:rPr>
        <w:t>terrigenous</w:t>
      </w:r>
      <w:proofErr w:type="spellEnd"/>
      <w:r w:rsidRPr="00673ED3">
        <w:rPr>
          <w:bCs/>
          <w:lang w:val="en-US"/>
        </w:rPr>
        <w:t xml:space="preserve"> and low-rank </w:t>
      </w:r>
      <w:proofErr w:type="spellStart"/>
      <w:r w:rsidRPr="00673ED3">
        <w:rPr>
          <w:bCs/>
          <w:lang w:val="en-US"/>
        </w:rPr>
        <w:t>metasedimentary</w:t>
      </w:r>
      <w:proofErr w:type="spellEnd"/>
      <w:r w:rsidRPr="00673ED3">
        <w:rPr>
          <w:bCs/>
          <w:lang w:val="en-US"/>
        </w:rPr>
        <w:t>, including shale/slate, siltstone/</w:t>
      </w:r>
      <w:proofErr w:type="spellStart"/>
      <w:r w:rsidRPr="00673ED3">
        <w:rPr>
          <w:bCs/>
          <w:lang w:val="en-US"/>
        </w:rPr>
        <w:t>metasiltstone</w:t>
      </w:r>
      <w:proofErr w:type="spellEnd"/>
      <w:r w:rsidRPr="00673ED3">
        <w:rPr>
          <w:bCs/>
          <w:lang w:val="en-US"/>
        </w:rPr>
        <w:t xml:space="preserve">, </w:t>
      </w:r>
      <w:proofErr w:type="spellStart"/>
      <w:r w:rsidRPr="00673ED3">
        <w:rPr>
          <w:bCs/>
          <w:lang w:val="en-US"/>
        </w:rPr>
        <w:t>phyllite</w:t>
      </w:r>
      <w:proofErr w:type="spellEnd"/>
      <w:r w:rsidRPr="00673ED3">
        <w:rPr>
          <w:bCs/>
          <w:lang w:val="en-US"/>
        </w:rPr>
        <w:t xml:space="preserve">); Lm= metamorphic; </w:t>
      </w:r>
      <w:proofErr w:type="spellStart"/>
      <w:r w:rsidRPr="00673ED3">
        <w:rPr>
          <w:bCs/>
          <w:lang w:val="en-US"/>
        </w:rPr>
        <w:t>Lmvb</w:t>
      </w:r>
      <w:proofErr w:type="spellEnd"/>
      <w:r w:rsidRPr="00673ED3">
        <w:rPr>
          <w:bCs/>
          <w:lang w:val="en-US"/>
        </w:rPr>
        <w:t xml:space="preserve">= low-rank </w:t>
      </w:r>
      <w:proofErr w:type="spellStart"/>
      <w:r w:rsidRPr="00673ED3">
        <w:rPr>
          <w:bCs/>
          <w:lang w:val="en-US"/>
        </w:rPr>
        <w:t>metavolcanic</w:t>
      </w:r>
      <w:proofErr w:type="spellEnd"/>
      <w:r w:rsidRPr="00673ED3">
        <w:rPr>
          <w:bCs/>
          <w:lang w:val="en-US"/>
        </w:rPr>
        <w:t xml:space="preserve"> and high-rank </w:t>
      </w:r>
      <w:proofErr w:type="spellStart"/>
      <w:r w:rsidRPr="00673ED3">
        <w:rPr>
          <w:bCs/>
          <w:lang w:val="en-US"/>
        </w:rPr>
        <w:t>metabasite</w:t>
      </w:r>
      <w:proofErr w:type="spellEnd"/>
      <w:r w:rsidRPr="00673ED3">
        <w:rPr>
          <w:bCs/>
          <w:lang w:val="en-US"/>
        </w:rPr>
        <w:t xml:space="preserve">; </w:t>
      </w:r>
      <w:proofErr w:type="spellStart"/>
      <w:r w:rsidRPr="00673ED3">
        <w:rPr>
          <w:bCs/>
          <w:lang w:val="en-US"/>
        </w:rPr>
        <w:t>Lmf</w:t>
      </w:r>
      <w:proofErr w:type="spellEnd"/>
      <w:r w:rsidRPr="00673ED3">
        <w:rPr>
          <w:bCs/>
          <w:lang w:val="en-US"/>
        </w:rPr>
        <w:t xml:space="preserve">= high-rank </w:t>
      </w:r>
      <w:proofErr w:type="spellStart"/>
      <w:r w:rsidRPr="00673ED3">
        <w:rPr>
          <w:bCs/>
          <w:lang w:val="en-US"/>
        </w:rPr>
        <w:t>metapelite</w:t>
      </w:r>
      <w:proofErr w:type="spellEnd"/>
      <w:r w:rsidRPr="00673ED3">
        <w:rPr>
          <w:bCs/>
          <w:lang w:val="en-US"/>
        </w:rPr>
        <w:t>/</w:t>
      </w:r>
      <w:proofErr w:type="spellStart"/>
      <w:r w:rsidRPr="00673ED3">
        <w:rPr>
          <w:bCs/>
          <w:lang w:val="en-US"/>
        </w:rPr>
        <w:t>metapsammite</w:t>
      </w:r>
      <w:proofErr w:type="spellEnd"/>
      <w:r w:rsidRPr="00673ED3">
        <w:rPr>
          <w:bCs/>
          <w:lang w:val="en-US"/>
        </w:rPr>
        <w:t>/</w:t>
      </w:r>
      <w:proofErr w:type="spellStart"/>
      <w:r w:rsidRPr="00673ED3">
        <w:rPr>
          <w:bCs/>
          <w:lang w:val="en-US"/>
        </w:rPr>
        <w:t>metafelsite</w:t>
      </w:r>
      <w:proofErr w:type="spellEnd"/>
      <w:r w:rsidRPr="00673ED3">
        <w:rPr>
          <w:bCs/>
          <w:lang w:val="en-US"/>
        </w:rPr>
        <w:t xml:space="preserve">; Lu= </w:t>
      </w:r>
      <w:proofErr w:type="spellStart"/>
      <w:r w:rsidRPr="00673ED3">
        <w:rPr>
          <w:bCs/>
          <w:lang w:val="en-US"/>
        </w:rPr>
        <w:t>ultramafic</w:t>
      </w:r>
      <w:proofErr w:type="spellEnd"/>
      <w:r w:rsidRPr="00673ED3">
        <w:rPr>
          <w:bCs/>
          <w:lang w:val="en-US"/>
        </w:rPr>
        <w:t xml:space="preserve">); </w:t>
      </w:r>
      <w:proofErr w:type="spellStart"/>
      <w:r w:rsidRPr="00673ED3">
        <w:rPr>
          <w:bCs/>
          <w:lang w:val="en-US"/>
        </w:rPr>
        <w:t>bt</w:t>
      </w:r>
      <w:proofErr w:type="spellEnd"/>
      <w:r w:rsidRPr="00673ED3">
        <w:rPr>
          <w:bCs/>
          <w:lang w:val="en-US"/>
        </w:rPr>
        <w:t xml:space="preserve">= </w:t>
      </w:r>
      <w:proofErr w:type="spellStart"/>
      <w:r w:rsidRPr="00673ED3">
        <w:rPr>
          <w:bCs/>
          <w:lang w:val="en-US"/>
        </w:rPr>
        <w:t>biotite</w:t>
      </w:r>
      <w:proofErr w:type="spellEnd"/>
      <w:r w:rsidRPr="00673ED3">
        <w:rPr>
          <w:bCs/>
          <w:lang w:val="en-US"/>
        </w:rPr>
        <w:t xml:space="preserve">; HM= heavy minerals. Rock fragments: V= volcanic; </w:t>
      </w:r>
      <w:proofErr w:type="spellStart"/>
      <w:r w:rsidRPr="00673ED3">
        <w:rPr>
          <w:bCs/>
          <w:lang w:val="en-US"/>
        </w:rPr>
        <w:t>Vm</w:t>
      </w:r>
      <w:proofErr w:type="spellEnd"/>
      <w:r w:rsidRPr="00673ED3">
        <w:rPr>
          <w:bCs/>
          <w:lang w:val="en-US"/>
        </w:rPr>
        <w:t xml:space="preserve">= intermediate and </w:t>
      </w:r>
      <w:proofErr w:type="spellStart"/>
      <w:r w:rsidRPr="00673ED3">
        <w:rPr>
          <w:bCs/>
          <w:lang w:val="en-US"/>
        </w:rPr>
        <w:t>mafic</w:t>
      </w:r>
      <w:proofErr w:type="spellEnd"/>
      <w:r w:rsidRPr="00673ED3">
        <w:rPr>
          <w:bCs/>
          <w:lang w:val="en-US"/>
        </w:rPr>
        <w:t xml:space="preserve"> volcanic; M= metamorphic; Mb= </w:t>
      </w:r>
      <w:proofErr w:type="spellStart"/>
      <w:r w:rsidRPr="00673ED3">
        <w:rPr>
          <w:bCs/>
          <w:lang w:val="en-US"/>
        </w:rPr>
        <w:t>mafic</w:t>
      </w:r>
      <w:proofErr w:type="spellEnd"/>
      <w:r w:rsidRPr="00673ED3">
        <w:rPr>
          <w:bCs/>
          <w:lang w:val="en-US"/>
        </w:rPr>
        <w:t xml:space="preserve"> metamorphic; S= </w:t>
      </w:r>
      <w:proofErr w:type="spellStart"/>
      <w:r w:rsidRPr="00673ED3">
        <w:rPr>
          <w:bCs/>
          <w:lang w:val="en-US"/>
        </w:rPr>
        <w:t>serpentininte</w:t>
      </w:r>
      <w:proofErr w:type="spellEnd"/>
      <w:r w:rsidRPr="00673ED3">
        <w:rPr>
          <w:bCs/>
          <w:lang w:val="en-US"/>
        </w:rPr>
        <w:t xml:space="preserve">; Sc= cellular </w:t>
      </w:r>
      <w:proofErr w:type="spellStart"/>
      <w:r w:rsidRPr="00673ED3">
        <w:rPr>
          <w:bCs/>
          <w:lang w:val="en-US"/>
        </w:rPr>
        <w:t>serpentinite</w:t>
      </w:r>
      <w:proofErr w:type="spellEnd"/>
      <w:r w:rsidRPr="00673ED3">
        <w:rPr>
          <w:bCs/>
          <w:lang w:val="en-US"/>
        </w:rPr>
        <w:t>. The Metamorphic Indices MI and MI* express the average metamorphic rank of rock fragments in each sample. MI varies from 0 (detritus shed by exclusively sedimentary and volcanic cover rocks) to 500 (very-high-rank detritus shed by exclusively high-grade basement rocks). MI* considers only metamorphic rock fragments, and thus varies from 100 (very-low-rank detritus shed by exclusively very low-grade metamorphic rocks) to 500 (</w:t>
      </w:r>
      <w:proofErr w:type="spellStart"/>
      <w:r w:rsidRPr="00673ED3">
        <w:rPr>
          <w:bCs/>
          <w:color w:val="0000FF"/>
          <w:lang w:val="en-US"/>
        </w:rPr>
        <w:t>Garzanti</w:t>
      </w:r>
      <w:proofErr w:type="spellEnd"/>
      <w:r w:rsidRPr="00673ED3">
        <w:rPr>
          <w:bCs/>
          <w:color w:val="0000FF"/>
          <w:lang w:val="en-US"/>
        </w:rPr>
        <w:t xml:space="preserve"> and </w:t>
      </w:r>
      <w:proofErr w:type="spellStart"/>
      <w:r w:rsidRPr="00673ED3">
        <w:rPr>
          <w:bCs/>
          <w:color w:val="0000FF"/>
          <w:lang w:val="en-US"/>
        </w:rPr>
        <w:t>Vezzoli</w:t>
      </w:r>
      <w:proofErr w:type="spellEnd"/>
      <w:r w:rsidRPr="00673ED3">
        <w:rPr>
          <w:bCs/>
          <w:color w:val="0000FF"/>
          <w:lang w:val="en-US"/>
        </w:rPr>
        <w:t>, 2003</w:t>
      </w:r>
      <w:r w:rsidRPr="00673ED3">
        <w:rPr>
          <w:bCs/>
          <w:lang w:val="en-US"/>
        </w:rPr>
        <w:t>).</w:t>
      </w:r>
    </w:p>
    <w:p w:rsidR="00673ED3" w:rsidRPr="00220055" w:rsidRDefault="00673ED3" w:rsidP="009044A8">
      <w:pPr>
        <w:pStyle w:val="Default"/>
        <w:tabs>
          <w:tab w:val="left" w:pos="3686"/>
        </w:tabs>
        <w:rPr>
          <w:color w:val="FF0000"/>
          <w:lang w:val="en-US"/>
        </w:rPr>
      </w:pPr>
    </w:p>
    <w:p w:rsidR="00673ED3" w:rsidRPr="00673ED3" w:rsidRDefault="00673ED3" w:rsidP="009044A8">
      <w:pPr>
        <w:tabs>
          <w:tab w:val="left" w:pos="3686"/>
        </w:tabs>
        <w:spacing w:line="360" w:lineRule="auto"/>
        <w:ind w:right="-79"/>
        <w:jc w:val="both"/>
        <w:rPr>
          <w:bCs/>
          <w:lang w:val="en-US"/>
        </w:rPr>
      </w:pPr>
      <w:r w:rsidRPr="005410F4">
        <w:rPr>
          <w:b/>
          <w:lang w:val="en-US"/>
        </w:rPr>
        <w:t>Table A3. Heavy minerals.</w:t>
      </w:r>
      <w:r w:rsidRPr="00220055">
        <w:rPr>
          <w:b/>
          <w:color w:val="FF0000"/>
          <w:lang w:val="en-US"/>
        </w:rPr>
        <w:t xml:space="preserve"> </w:t>
      </w:r>
      <w:r w:rsidRPr="00673ED3">
        <w:rPr>
          <w:bCs/>
          <w:lang w:val="en-US"/>
        </w:rPr>
        <w:t xml:space="preserve">HM heavy minerals; </w:t>
      </w:r>
      <w:proofErr w:type="spellStart"/>
      <w:r w:rsidRPr="00673ED3">
        <w:rPr>
          <w:bCs/>
          <w:lang w:val="en-US"/>
        </w:rPr>
        <w:t>tHM</w:t>
      </w:r>
      <w:proofErr w:type="spellEnd"/>
      <w:r w:rsidRPr="00673ED3">
        <w:rPr>
          <w:bCs/>
          <w:lang w:val="en-US"/>
        </w:rPr>
        <w:t xml:space="preserve">= transparent heavy minerals; HMC and </w:t>
      </w:r>
      <w:proofErr w:type="spellStart"/>
      <w:r w:rsidRPr="00673ED3">
        <w:rPr>
          <w:bCs/>
          <w:lang w:val="en-US"/>
        </w:rPr>
        <w:t>tHMC</w:t>
      </w:r>
      <w:proofErr w:type="spellEnd"/>
      <w:r w:rsidRPr="00673ED3">
        <w:rPr>
          <w:bCs/>
          <w:lang w:val="en-US"/>
        </w:rPr>
        <w:t xml:space="preserve"> = total and transparent-heavy-mineral concentration indices (</w:t>
      </w:r>
      <w:proofErr w:type="spellStart"/>
      <w:r w:rsidRPr="00673ED3">
        <w:rPr>
          <w:bCs/>
          <w:color w:val="0000FF"/>
          <w:lang w:val="en-US"/>
        </w:rPr>
        <w:t>Garzanti</w:t>
      </w:r>
      <w:proofErr w:type="spellEnd"/>
      <w:r w:rsidRPr="00673ED3">
        <w:rPr>
          <w:bCs/>
          <w:color w:val="0000FF"/>
          <w:lang w:val="en-US"/>
        </w:rPr>
        <w:t xml:space="preserve"> and </w:t>
      </w:r>
      <w:proofErr w:type="spellStart"/>
      <w:r w:rsidRPr="00673ED3">
        <w:rPr>
          <w:bCs/>
          <w:color w:val="0000FF"/>
          <w:lang w:val="en-US"/>
        </w:rPr>
        <w:t>Andò</w:t>
      </w:r>
      <w:proofErr w:type="spellEnd"/>
      <w:r w:rsidRPr="00673ED3">
        <w:rPr>
          <w:bCs/>
          <w:color w:val="0000FF"/>
          <w:lang w:val="en-US"/>
        </w:rPr>
        <w:t>, 2007</w:t>
      </w:r>
      <w:r w:rsidRPr="00673ED3">
        <w:rPr>
          <w:bCs/>
          <w:lang w:val="en-US"/>
        </w:rPr>
        <w:t>)</w:t>
      </w:r>
      <w:r w:rsidRPr="00673ED3">
        <w:rPr>
          <w:lang w:val="en-US"/>
        </w:rPr>
        <w:t>;</w:t>
      </w:r>
      <w:r w:rsidRPr="005410F4">
        <w:rPr>
          <w:lang w:val="en-US"/>
        </w:rPr>
        <w:t xml:space="preserve"> </w:t>
      </w:r>
      <w:proofErr w:type="spellStart"/>
      <w:r w:rsidRPr="005410F4">
        <w:rPr>
          <w:lang w:val="en-US"/>
        </w:rPr>
        <w:t>n.</w:t>
      </w:r>
      <w:r w:rsidRPr="00673ED3">
        <w:rPr>
          <w:lang w:val="en-US"/>
        </w:rPr>
        <w:t>d</w:t>
      </w:r>
      <w:proofErr w:type="spellEnd"/>
      <w:r w:rsidRPr="00673ED3">
        <w:rPr>
          <w:lang w:val="en-US"/>
        </w:rPr>
        <w:t xml:space="preserve">. </w:t>
      </w:r>
      <w:r w:rsidRPr="00673ED3">
        <w:rPr>
          <w:lang w:val="en-US"/>
        </w:rPr>
        <w:lastRenderedPageBreak/>
        <w:t>= not determined</w:t>
      </w:r>
      <w:r w:rsidRPr="00673ED3">
        <w:rPr>
          <w:bCs/>
          <w:lang w:val="en-US"/>
        </w:rPr>
        <w:t xml:space="preserve">. </w:t>
      </w:r>
      <w:r w:rsidRPr="005410F4">
        <w:rPr>
          <w:lang w:val="en-US"/>
        </w:rPr>
        <w:t xml:space="preserve">The ZTR index (sum of zircon, tourmaline and </w:t>
      </w:r>
      <w:proofErr w:type="spellStart"/>
      <w:r w:rsidRPr="005410F4">
        <w:rPr>
          <w:lang w:val="en-US"/>
        </w:rPr>
        <w:t>rutile</w:t>
      </w:r>
      <w:proofErr w:type="spellEnd"/>
      <w:r w:rsidRPr="005410F4">
        <w:rPr>
          <w:lang w:val="en-US"/>
        </w:rPr>
        <w:t xml:space="preserve"> over total transparent heavy minerals) evaluates the “mineralogical stability” of the detrital assemblage (</w:t>
      </w:r>
      <w:r w:rsidRPr="005410F4">
        <w:rPr>
          <w:color w:val="0000FF"/>
          <w:lang w:val="en-US"/>
        </w:rPr>
        <w:t>Hubert 1962</w:t>
      </w:r>
      <w:r w:rsidRPr="005410F4">
        <w:rPr>
          <w:lang w:val="en-US"/>
        </w:rPr>
        <w:t xml:space="preserve">). The HCI (Hornblende </w:t>
      </w:r>
      <w:proofErr w:type="spellStart"/>
      <w:r w:rsidRPr="005410F4">
        <w:rPr>
          <w:lang w:val="en-US"/>
        </w:rPr>
        <w:t>Colour</w:t>
      </w:r>
      <w:proofErr w:type="spellEnd"/>
      <w:r w:rsidRPr="005410F4">
        <w:rPr>
          <w:lang w:val="en-US"/>
        </w:rPr>
        <w:t xml:space="preserve"> Index) and MMI (</w:t>
      </w:r>
      <w:proofErr w:type="spellStart"/>
      <w:r w:rsidRPr="005410F4">
        <w:rPr>
          <w:lang w:val="en-US"/>
        </w:rPr>
        <w:t>Metasedimentary</w:t>
      </w:r>
      <w:proofErr w:type="spellEnd"/>
      <w:r w:rsidRPr="005410F4">
        <w:rPr>
          <w:lang w:val="en-US"/>
        </w:rPr>
        <w:t xml:space="preserve"> Minerals Index) vary from 0 in detritus from </w:t>
      </w:r>
      <w:proofErr w:type="spellStart"/>
      <w:r w:rsidRPr="005410F4">
        <w:rPr>
          <w:lang w:val="en-US"/>
        </w:rPr>
        <w:t>greenschist-facies</w:t>
      </w:r>
      <w:proofErr w:type="spellEnd"/>
      <w:r w:rsidRPr="005410F4">
        <w:rPr>
          <w:lang w:val="en-US"/>
        </w:rPr>
        <w:t xml:space="preserve"> to lowermost </w:t>
      </w:r>
      <w:proofErr w:type="spellStart"/>
      <w:r w:rsidRPr="005410F4">
        <w:rPr>
          <w:lang w:val="en-US"/>
        </w:rPr>
        <w:t>amphibolite-facies</w:t>
      </w:r>
      <w:proofErr w:type="spellEnd"/>
      <w:r w:rsidRPr="005410F4">
        <w:rPr>
          <w:lang w:val="en-US"/>
        </w:rPr>
        <w:t xml:space="preserve"> rocks yielding exclusively blue/green amphibole and </w:t>
      </w:r>
      <w:proofErr w:type="spellStart"/>
      <w:r w:rsidRPr="005410F4">
        <w:rPr>
          <w:lang w:val="en-US"/>
        </w:rPr>
        <w:t>chloritoid</w:t>
      </w:r>
      <w:proofErr w:type="spellEnd"/>
      <w:r w:rsidRPr="005410F4">
        <w:rPr>
          <w:lang w:val="en-US"/>
        </w:rPr>
        <w:t xml:space="preserve">, to 100 in detritus from </w:t>
      </w:r>
      <w:proofErr w:type="spellStart"/>
      <w:r w:rsidRPr="005410F4">
        <w:rPr>
          <w:lang w:val="en-US"/>
        </w:rPr>
        <w:t>granulite-facies</w:t>
      </w:r>
      <w:proofErr w:type="spellEnd"/>
      <w:r w:rsidRPr="005410F4">
        <w:rPr>
          <w:lang w:val="en-US"/>
        </w:rPr>
        <w:t xml:space="preserve"> rocks yielding exclusively brown hornblende and </w:t>
      </w:r>
      <w:proofErr w:type="spellStart"/>
      <w:r w:rsidRPr="005410F4">
        <w:rPr>
          <w:lang w:val="en-US"/>
        </w:rPr>
        <w:t>sillimanite</w:t>
      </w:r>
      <w:proofErr w:type="spellEnd"/>
      <w:r w:rsidRPr="005410F4">
        <w:rPr>
          <w:lang w:val="en-US"/>
        </w:rPr>
        <w:t xml:space="preserve">, and are used to estimate the average metamorphic grade of </w:t>
      </w:r>
      <w:proofErr w:type="spellStart"/>
      <w:r w:rsidRPr="005410F4">
        <w:rPr>
          <w:lang w:val="en-US"/>
        </w:rPr>
        <w:t>metaigneous</w:t>
      </w:r>
      <w:proofErr w:type="spellEnd"/>
      <w:r w:rsidRPr="005410F4">
        <w:rPr>
          <w:lang w:val="en-US"/>
        </w:rPr>
        <w:t xml:space="preserve"> and </w:t>
      </w:r>
      <w:proofErr w:type="spellStart"/>
      <w:r w:rsidRPr="005410F4">
        <w:rPr>
          <w:lang w:val="en-US"/>
        </w:rPr>
        <w:t>metasedimentary</w:t>
      </w:r>
      <w:proofErr w:type="spellEnd"/>
      <w:r w:rsidRPr="005410F4">
        <w:rPr>
          <w:lang w:val="en-US"/>
        </w:rPr>
        <w:t xml:space="preserve"> source rocks, respectively (</w:t>
      </w:r>
      <w:proofErr w:type="spellStart"/>
      <w:r w:rsidRPr="005410F4">
        <w:rPr>
          <w:color w:val="0000FF"/>
          <w:lang w:val="en-US"/>
        </w:rPr>
        <w:t>And</w:t>
      </w:r>
      <w:r>
        <w:rPr>
          <w:color w:val="0000FF"/>
          <w:lang w:val="en-US"/>
        </w:rPr>
        <w:t>ó</w:t>
      </w:r>
      <w:proofErr w:type="spellEnd"/>
      <w:r w:rsidRPr="005410F4">
        <w:rPr>
          <w:color w:val="0000FF"/>
          <w:lang w:val="en-US"/>
        </w:rPr>
        <w:t xml:space="preserve"> et al. 2014</w:t>
      </w:r>
      <w:r w:rsidRPr="005410F4">
        <w:rPr>
          <w:lang w:val="en-US"/>
        </w:rPr>
        <w:t xml:space="preserve">). </w:t>
      </w:r>
      <w:r w:rsidRPr="00673ED3">
        <w:rPr>
          <w:lang w:val="en-US"/>
        </w:rPr>
        <w:t xml:space="preserve">HMC and </w:t>
      </w:r>
      <w:proofErr w:type="spellStart"/>
      <w:r w:rsidRPr="00673ED3">
        <w:rPr>
          <w:lang w:val="en-US"/>
        </w:rPr>
        <w:t>tHMC</w:t>
      </w:r>
      <w:proofErr w:type="spellEnd"/>
      <w:r w:rsidRPr="00673ED3">
        <w:rPr>
          <w:lang w:val="en-US"/>
        </w:rPr>
        <w:t xml:space="preserve"> = Heavy Mineral and transparent Heavy Mineral Concentration indices (</w:t>
      </w:r>
      <w:proofErr w:type="spellStart"/>
      <w:r w:rsidRPr="00673ED3">
        <w:rPr>
          <w:color w:val="0000FF"/>
          <w:lang w:val="en-US"/>
        </w:rPr>
        <w:t>Garzanti</w:t>
      </w:r>
      <w:proofErr w:type="spellEnd"/>
      <w:r w:rsidRPr="00673ED3">
        <w:rPr>
          <w:color w:val="0000FF"/>
          <w:lang w:val="en-US"/>
        </w:rPr>
        <w:t xml:space="preserve"> and </w:t>
      </w:r>
      <w:proofErr w:type="spellStart"/>
      <w:r w:rsidRPr="00673ED3">
        <w:rPr>
          <w:color w:val="0000FF"/>
          <w:lang w:val="en-US"/>
        </w:rPr>
        <w:t>Andó</w:t>
      </w:r>
      <w:proofErr w:type="spellEnd"/>
      <w:r w:rsidRPr="00673ED3">
        <w:rPr>
          <w:color w:val="0000FF"/>
          <w:lang w:val="en-US"/>
        </w:rPr>
        <w:t>, 2007</w:t>
      </w:r>
      <w:r w:rsidRPr="00D833E1">
        <w:rPr>
          <w:lang w:val="en-US"/>
        </w:rPr>
        <w:t>).</w:t>
      </w:r>
    </w:p>
    <w:p w:rsidR="00673ED3" w:rsidRDefault="00673ED3" w:rsidP="009044A8">
      <w:pPr>
        <w:tabs>
          <w:tab w:val="left" w:pos="3686"/>
        </w:tabs>
        <w:spacing w:line="360" w:lineRule="auto"/>
        <w:jc w:val="both"/>
        <w:rPr>
          <w:b/>
          <w:lang w:val="en-US"/>
        </w:rPr>
      </w:pPr>
    </w:p>
    <w:p w:rsidR="00673ED3" w:rsidRPr="00D833E1" w:rsidRDefault="00673ED3" w:rsidP="009044A8">
      <w:pPr>
        <w:tabs>
          <w:tab w:val="left" w:pos="3686"/>
        </w:tabs>
        <w:spacing w:line="360" w:lineRule="auto"/>
        <w:jc w:val="both"/>
        <w:rPr>
          <w:lang w:val="en-US"/>
        </w:rPr>
      </w:pPr>
      <w:r w:rsidRPr="00673ED3">
        <w:rPr>
          <w:b/>
          <w:lang w:val="en-US"/>
        </w:rPr>
        <w:t xml:space="preserve">Table A4. Geochemistry </w:t>
      </w:r>
      <w:r w:rsidRPr="00673ED3">
        <w:rPr>
          <w:lang w:val="en-US"/>
        </w:rPr>
        <w:t>(analyses made at ACME Laboratories, Vancouver; f</w:t>
      </w:r>
      <w:r w:rsidRPr="00D833E1">
        <w:rPr>
          <w:lang w:val="en-US"/>
        </w:rPr>
        <w:t xml:space="preserve">or information on adopted procedures, </w:t>
      </w:r>
      <w:proofErr w:type="spellStart"/>
      <w:r w:rsidRPr="00D833E1">
        <w:rPr>
          <w:lang w:val="en-US"/>
        </w:rPr>
        <w:t>geostandards</w:t>
      </w:r>
      <w:proofErr w:type="spellEnd"/>
      <w:r w:rsidRPr="00D833E1">
        <w:rPr>
          <w:lang w:val="en-US"/>
        </w:rPr>
        <w:t xml:space="preserve"> used and precision for various elements of group 4A-4B see </w:t>
      </w:r>
      <w:hyperlink r:id="rId27" w:history="1">
        <w:r w:rsidRPr="00673ED3">
          <w:rPr>
            <w:color w:val="0000FF"/>
            <w:lang w:val="en-US"/>
          </w:rPr>
          <w:t>http://acmelab.com</w:t>
        </w:r>
      </w:hyperlink>
      <w:r w:rsidRPr="00673ED3">
        <w:rPr>
          <w:lang w:val="en-US"/>
        </w:rPr>
        <w:t xml:space="preserve">). </w:t>
      </w:r>
      <w:r w:rsidR="00CA2446">
        <w:rPr>
          <w:lang w:val="en-US"/>
        </w:rPr>
        <w:t>T</w:t>
      </w:r>
      <w:r w:rsidR="00CA2446" w:rsidRPr="00CA2446">
        <w:rPr>
          <w:lang w:val="en-US"/>
        </w:rPr>
        <w:t>he concentration</w:t>
      </w:r>
      <w:r w:rsidR="00CA2446">
        <w:rPr>
          <w:lang w:val="en-US"/>
        </w:rPr>
        <w:t>s</w:t>
      </w:r>
      <w:r w:rsidR="00CA2446" w:rsidRPr="00CA2446">
        <w:rPr>
          <w:lang w:val="en-US"/>
        </w:rPr>
        <w:t xml:space="preserve"> of</w:t>
      </w:r>
      <w:r w:rsidR="00CA2446">
        <w:rPr>
          <w:lang w:val="en-US"/>
        </w:rPr>
        <w:t xml:space="preserve"> several e</w:t>
      </w:r>
      <w:r w:rsidRPr="00673ED3">
        <w:rPr>
          <w:lang w:val="en-US"/>
        </w:rPr>
        <w:t xml:space="preserve">lements </w:t>
      </w:r>
      <w:proofErr w:type="spellStart"/>
      <w:r w:rsidRPr="00673ED3">
        <w:rPr>
          <w:lang w:val="en-US"/>
        </w:rPr>
        <w:t>analysed</w:t>
      </w:r>
      <w:proofErr w:type="spellEnd"/>
      <w:r w:rsidRPr="00673ED3">
        <w:rPr>
          <w:lang w:val="en-US"/>
        </w:rPr>
        <w:t xml:space="preserve"> by aqua </w:t>
      </w:r>
      <w:proofErr w:type="spellStart"/>
      <w:r w:rsidRPr="00673ED3">
        <w:rPr>
          <w:lang w:val="en-US"/>
        </w:rPr>
        <w:t>regia</w:t>
      </w:r>
      <w:proofErr w:type="spellEnd"/>
      <w:r w:rsidRPr="00673ED3">
        <w:rPr>
          <w:lang w:val="en-US"/>
        </w:rPr>
        <w:t xml:space="preserve"> digestion </w:t>
      </w:r>
      <w:r w:rsidR="00CA2446">
        <w:rPr>
          <w:lang w:val="en-US"/>
        </w:rPr>
        <w:t xml:space="preserve">(i.e., </w:t>
      </w:r>
      <w:r w:rsidR="00CA2446" w:rsidRPr="00CA2446">
        <w:rPr>
          <w:lang w:val="en-US"/>
        </w:rPr>
        <w:t xml:space="preserve">Mo, Ni, Cu, Ag, Au, Zn, </w:t>
      </w:r>
      <w:proofErr w:type="spellStart"/>
      <w:r w:rsidR="00CA2446" w:rsidRPr="00CA2446">
        <w:rPr>
          <w:lang w:val="en-US"/>
        </w:rPr>
        <w:t>Cd</w:t>
      </w:r>
      <w:proofErr w:type="spellEnd"/>
      <w:r w:rsidR="00CA2446" w:rsidRPr="00CA2446">
        <w:rPr>
          <w:lang w:val="en-US"/>
        </w:rPr>
        <w:t xml:space="preserve">, Hg, </w:t>
      </w:r>
      <w:proofErr w:type="spellStart"/>
      <w:r w:rsidR="00CA2446" w:rsidRPr="00CA2446">
        <w:rPr>
          <w:lang w:val="en-US"/>
        </w:rPr>
        <w:t>Tl</w:t>
      </w:r>
      <w:proofErr w:type="spellEnd"/>
      <w:r w:rsidR="00CA2446" w:rsidRPr="00CA2446">
        <w:rPr>
          <w:lang w:val="en-US"/>
        </w:rPr>
        <w:t xml:space="preserve">, </w:t>
      </w:r>
      <w:proofErr w:type="spellStart"/>
      <w:r w:rsidR="00CA2446" w:rsidRPr="00CA2446">
        <w:rPr>
          <w:lang w:val="en-US"/>
        </w:rPr>
        <w:t>Pb</w:t>
      </w:r>
      <w:proofErr w:type="spellEnd"/>
      <w:r w:rsidR="00CA2446" w:rsidRPr="00CA2446">
        <w:rPr>
          <w:lang w:val="en-US"/>
        </w:rPr>
        <w:t xml:space="preserve">, As, </w:t>
      </w:r>
      <w:proofErr w:type="spellStart"/>
      <w:r w:rsidR="00CA2446" w:rsidRPr="00CA2446">
        <w:rPr>
          <w:lang w:val="en-US"/>
        </w:rPr>
        <w:t>Sb</w:t>
      </w:r>
      <w:proofErr w:type="spellEnd"/>
      <w:r w:rsidR="00CA2446" w:rsidRPr="00CA2446">
        <w:rPr>
          <w:lang w:val="en-US"/>
        </w:rPr>
        <w:t xml:space="preserve">, Bi, </w:t>
      </w:r>
      <w:r w:rsidR="00CA2446">
        <w:rPr>
          <w:lang w:val="en-US"/>
        </w:rPr>
        <w:t xml:space="preserve">and </w:t>
      </w:r>
      <w:r w:rsidR="00CA2446" w:rsidRPr="00CA2446">
        <w:rPr>
          <w:lang w:val="en-US"/>
        </w:rPr>
        <w:t>Se</w:t>
      </w:r>
      <w:r w:rsidR="00CA2446">
        <w:rPr>
          <w:lang w:val="en-US"/>
        </w:rPr>
        <w:t>)</w:t>
      </w:r>
      <w:r w:rsidR="00CA2446" w:rsidRPr="00CA2446">
        <w:rPr>
          <w:lang w:val="en-US"/>
        </w:rPr>
        <w:t xml:space="preserve"> </w:t>
      </w:r>
      <w:r w:rsidRPr="00673ED3">
        <w:rPr>
          <w:lang w:val="en-US"/>
        </w:rPr>
        <w:t>may be underestimated because of only partial leaching of refractory minerals</w:t>
      </w:r>
      <w:r w:rsidR="00CA2446">
        <w:rPr>
          <w:lang w:val="en-US"/>
        </w:rPr>
        <w:t xml:space="preserve"> and should be considered indicative</w:t>
      </w:r>
      <w:r w:rsidRPr="00673ED3">
        <w:rPr>
          <w:lang w:val="en-US"/>
        </w:rPr>
        <w:t xml:space="preserve">. </w:t>
      </w:r>
    </w:p>
    <w:p w:rsidR="009044A8" w:rsidRDefault="009044A8" w:rsidP="009044A8">
      <w:pPr>
        <w:tabs>
          <w:tab w:val="left" w:pos="3686"/>
        </w:tabs>
        <w:spacing w:line="360" w:lineRule="auto"/>
        <w:jc w:val="both"/>
        <w:rPr>
          <w:b/>
          <w:lang w:val="en-US"/>
        </w:rPr>
      </w:pPr>
    </w:p>
    <w:p w:rsidR="00673ED3" w:rsidRDefault="00673ED3" w:rsidP="009044A8">
      <w:pPr>
        <w:tabs>
          <w:tab w:val="left" w:pos="3686"/>
        </w:tabs>
        <w:spacing w:line="360" w:lineRule="auto"/>
        <w:jc w:val="both"/>
        <w:rPr>
          <w:color w:val="FF0000"/>
          <w:lang w:val="en-US"/>
        </w:rPr>
      </w:pPr>
      <w:r w:rsidRPr="00673ED3">
        <w:rPr>
          <w:b/>
          <w:lang w:val="en-US"/>
        </w:rPr>
        <w:t xml:space="preserve">Table A5. </w:t>
      </w:r>
      <w:r w:rsidRPr="00673ED3">
        <w:rPr>
          <w:b/>
          <w:bCs/>
          <w:lang w:val="en-US"/>
        </w:rPr>
        <w:t>U-</w:t>
      </w:r>
      <w:proofErr w:type="spellStart"/>
      <w:r w:rsidRPr="00673ED3">
        <w:rPr>
          <w:b/>
          <w:bCs/>
          <w:lang w:val="en-US"/>
        </w:rPr>
        <w:t>Pb</w:t>
      </w:r>
      <w:proofErr w:type="spellEnd"/>
      <w:r w:rsidRPr="00673ED3">
        <w:rPr>
          <w:b/>
          <w:bCs/>
          <w:lang w:val="en-US"/>
        </w:rPr>
        <w:t xml:space="preserve"> </w:t>
      </w:r>
      <w:proofErr w:type="spellStart"/>
      <w:r w:rsidRPr="00673ED3">
        <w:rPr>
          <w:b/>
          <w:bCs/>
          <w:lang w:val="en-US"/>
        </w:rPr>
        <w:t>detrital</w:t>
      </w:r>
      <w:proofErr w:type="spellEnd"/>
      <w:r w:rsidRPr="00673ED3">
        <w:rPr>
          <w:b/>
          <w:bCs/>
          <w:lang w:val="en-US"/>
        </w:rPr>
        <w:t xml:space="preserve"> zircon geochronology </w:t>
      </w:r>
      <w:r w:rsidRPr="00673ED3">
        <w:rPr>
          <w:lang w:val="en-US"/>
        </w:rPr>
        <w:t>(analyses made</w:t>
      </w:r>
      <w:r w:rsidRPr="00673ED3">
        <w:rPr>
          <w:b/>
          <w:bCs/>
          <w:lang w:val="en-US"/>
        </w:rPr>
        <w:t xml:space="preserve"> </w:t>
      </w:r>
      <w:r w:rsidRPr="00673ED3">
        <w:rPr>
          <w:lang w:val="en-US"/>
        </w:rPr>
        <w:t>at the State Key Laboratory of Lithosphere Evolution, Institute of Geology of Geophysics, Chinese Academy of Sciences).</w:t>
      </w:r>
      <w:r>
        <w:rPr>
          <w:lang w:val="en-US"/>
        </w:rPr>
        <w:t xml:space="preserve"> </w:t>
      </w:r>
      <w:r w:rsidRPr="00A92397">
        <w:rPr>
          <w:lang w:val="en-US"/>
        </w:rPr>
        <w:t xml:space="preserve">We used </w:t>
      </w:r>
      <w:r w:rsidRPr="00A92397">
        <w:rPr>
          <w:vertAlign w:val="superscript"/>
          <w:lang w:val="en-US"/>
        </w:rPr>
        <w:t>206</w:t>
      </w:r>
      <w:r w:rsidRPr="00A92397">
        <w:rPr>
          <w:lang w:val="en-US"/>
        </w:rPr>
        <w:t>Pb/</w:t>
      </w:r>
      <w:r w:rsidRPr="00A92397">
        <w:rPr>
          <w:vertAlign w:val="superscript"/>
          <w:lang w:val="en-US"/>
        </w:rPr>
        <w:t>238</w:t>
      </w:r>
      <w:r w:rsidRPr="00A92397">
        <w:rPr>
          <w:lang w:val="en-US"/>
        </w:rPr>
        <w:t xml:space="preserve">U and </w:t>
      </w:r>
      <w:r w:rsidRPr="00A92397">
        <w:rPr>
          <w:vertAlign w:val="superscript"/>
          <w:lang w:val="en-US"/>
        </w:rPr>
        <w:t>207</w:t>
      </w:r>
      <w:r w:rsidRPr="00A92397">
        <w:rPr>
          <w:lang w:val="en-US"/>
        </w:rPr>
        <w:t>Pb/</w:t>
      </w:r>
      <w:r w:rsidRPr="00A92397">
        <w:rPr>
          <w:vertAlign w:val="superscript"/>
          <w:lang w:val="en-US"/>
        </w:rPr>
        <w:t>206</w:t>
      </w:r>
      <w:r w:rsidRPr="00A92397">
        <w:rPr>
          <w:lang w:val="en-US"/>
        </w:rPr>
        <w:t>Pb ages for zircons younger and older than 1000 Ma, respectively.</w:t>
      </w:r>
    </w:p>
    <w:p w:rsidR="00673ED3" w:rsidRPr="00673ED3" w:rsidRDefault="00673ED3" w:rsidP="009044A8">
      <w:pPr>
        <w:tabs>
          <w:tab w:val="left" w:pos="3686"/>
        </w:tabs>
        <w:spacing w:line="360" w:lineRule="auto"/>
        <w:ind w:right="-79"/>
        <w:jc w:val="both"/>
        <w:rPr>
          <w:lang w:val="en-US"/>
        </w:rPr>
      </w:pPr>
      <w:r w:rsidRPr="00673ED3">
        <w:rPr>
          <w:b/>
          <w:lang w:val="en-US"/>
        </w:rPr>
        <w:t>Table A6.</w:t>
      </w:r>
      <w:r w:rsidRPr="00673ED3">
        <w:rPr>
          <w:lang w:val="en-US"/>
        </w:rPr>
        <w:t xml:space="preserve"> </w:t>
      </w:r>
      <w:proofErr w:type="spellStart"/>
      <w:r w:rsidRPr="00673ED3">
        <w:rPr>
          <w:b/>
          <w:lang w:val="en-US"/>
        </w:rPr>
        <w:t>Geomorphological</w:t>
      </w:r>
      <w:proofErr w:type="spellEnd"/>
      <w:r w:rsidRPr="00673ED3">
        <w:rPr>
          <w:b/>
          <w:lang w:val="en-US"/>
        </w:rPr>
        <w:t xml:space="preserve"> features of studied sub-catchments. </w:t>
      </w:r>
      <w:r w:rsidRPr="00673ED3">
        <w:rPr>
          <w:lang w:val="en-US"/>
        </w:rPr>
        <w:t xml:space="preserve">The concavity index </w:t>
      </w:r>
      <w:r>
        <w:rPr>
          <w:rFonts w:ascii="Symbol" w:hAnsi="Symbol"/>
        </w:rPr>
        <w:sym w:font="Symbol" w:char="F071"/>
      </w:r>
      <w:r>
        <w:rPr>
          <w:rFonts w:ascii="Symbol" w:hAnsi="Symbol"/>
        </w:rPr>
        <w:t></w:t>
      </w:r>
      <w:r w:rsidRPr="00673ED3">
        <w:rPr>
          <w:lang w:val="en-US"/>
        </w:rPr>
        <w:t xml:space="preserve">describes the rate of change of channel gradient with drainage area. Steepness indices measure bedrock-channel response to differential rock uplift if other controls such as rock type, climate, flood hydrology or sediment flux are negligible or sufficiently constrained. The normalized steepness index </w:t>
      </w:r>
      <w:proofErr w:type="spellStart"/>
      <w:r w:rsidRPr="00673ED3">
        <w:rPr>
          <w:i/>
          <w:lang w:val="en-US"/>
        </w:rPr>
        <w:t>ksn</w:t>
      </w:r>
      <w:proofErr w:type="spellEnd"/>
      <w:r w:rsidRPr="00673ED3">
        <w:rPr>
          <w:lang w:val="en-US"/>
        </w:rPr>
        <w:t xml:space="preserve"> used here is corrected by a fixed reference concavity of 0.45 for all river segments. Data for river length, elevation, basin area, water discharge and total Irrawaddy suspended load from </w:t>
      </w:r>
      <w:r w:rsidRPr="00673ED3">
        <w:rPr>
          <w:color w:val="0000FF"/>
          <w:lang w:val="en-US"/>
        </w:rPr>
        <w:t xml:space="preserve">Hay </w:t>
      </w:r>
      <w:r w:rsidRPr="00673ED3">
        <w:rPr>
          <w:lang w:val="en-US"/>
        </w:rPr>
        <w:t>(</w:t>
      </w:r>
      <w:r w:rsidRPr="00673ED3">
        <w:rPr>
          <w:color w:val="0000FF"/>
          <w:lang w:val="en-US"/>
        </w:rPr>
        <w:t>1998</w:t>
      </w:r>
      <w:r w:rsidRPr="00673ED3">
        <w:rPr>
          <w:lang w:val="en-US"/>
        </w:rPr>
        <w:t xml:space="preserve">), </w:t>
      </w:r>
      <w:r w:rsidRPr="00673ED3">
        <w:rPr>
          <w:color w:val="0000FF"/>
          <w:lang w:val="en-US"/>
        </w:rPr>
        <w:t xml:space="preserve">Robinson et al. </w:t>
      </w:r>
      <w:r w:rsidRPr="00673ED3">
        <w:rPr>
          <w:lang w:val="en-US"/>
        </w:rPr>
        <w:t>(</w:t>
      </w:r>
      <w:r w:rsidRPr="00673ED3">
        <w:rPr>
          <w:color w:val="0000FF"/>
          <w:lang w:val="en-US"/>
        </w:rPr>
        <w:t>2007</w:t>
      </w:r>
      <w:r w:rsidRPr="00673ED3">
        <w:rPr>
          <w:lang w:val="en-US"/>
        </w:rPr>
        <w:t xml:space="preserve">), </w:t>
      </w:r>
      <w:proofErr w:type="spellStart"/>
      <w:r w:rsidRPr="00673ED3">
        <w:rPr>
          <w:color w:val="0000FF"/>
          <w:lang w:val="en-US"/>
        </w:rPr>
        <w:t>Furuichi</w:t>
      </w:r>
      <w:proofErr w:type="spellEnd"/>
      <w:r w:rsidRPr="00673ED3">
        <w:rPr>
          <w:color w:val="0000FF"/>
          <w:lang w:val="en-US"/>
        </w:rPr>
        <w:t xml:space="preserve"> et al. </w:t>
      </w:r>
      <w:r w:rsidRPr="00673ED3">
        <w:rPr>
          <w:lang w:val="en-US"/>
        </w:rPr>
        <w:t>(</w:t>
      </w:r>
      <w:r w:rsidRPr="00673ED3">
        <w:rPr>
          <w:color w:val="0000FF"/>
          <w:lang w:val="en-US"/>
        </w:rPr>
        <w:t>2009</w:t>
      </w:r>
      <w:r w:rsidRPr="00673ED3">
        <w:rPr>
          <w:lang w:val="en-US"/>
        </w:rPr>
        <w:t xml:space="preserve">), </w:t>
      </w:r>
      <w:r w:rsidRPr="00673ED3">
        <w:rPr>
          <w:color w:val="0000FF"/>
          <w:lang w:val="en-US"/>
        </w:rPr>
        <w:t xml:space="preserve">Ra </w:t>
      </w:r>
      <w:r w:rsidRPr="00673ED3">
        <w:rPr>
          <w:lang w:val="en-US"/>
        </w:rPr>
        <w:t>(</w:t>
      </w:r>
      <w:r w:rsidRPr="00673ED3">
        <w:rPr>
          <w:color w:val="0000FF"/>
          <w:lang w:val="en-US"/>
        </w:rPr>
        <w:t>2011</w:t>
      </w:r>
      <w:r w:rsidRPr="00673ED3">
        <w:rPr>
          <w:lang w:val="en-US"/>
        </w:rPr>
        <w:t>) and</w:t>
      </w:r>
      <w:r w:rsidRPr="00673ED3">
        <w:rPr>
          <w:color w:val="0000FF"/>
          <w:lang w:val="en-US"/>
        </w:rPr>
        <w:t xml:space="preserve"> Win </w:t>
      </w:r>
      <w:r w:rsidRPr="00673ED3">
        <w:rPr>
          <w:lang w:val="en-US"/>
        </w:rPr>
        <w:t>(</w:t>
      </w:r>
      <w:r w:rsidRPr="00673ED3">
        <w:rPr>
          <w:color w:val="0000FF"/>
          <w:lang w:val="en-US"/>
        </w:rPr>
        <w:t>2011</w:t>
      </w:r>
      <w:r w:rsidRPr="00673ED3">
        <w:rPr>
          <w:lang w:val="en-US"/>
        </w:rPr>
        <w:t xml:space="preserve">). Total Irrawaddy sediment load (including ≥10% </w:t>
      </w:r>
      <w:proofErr w:type="spellStart"/>
      <w:r w:rsidRPr="00673ED3">
        <w:rPr>
          <w:lang w:val="en-US"/>
        </w:rPr>
        <w:t>bedload</w:t>
      </w:r>
      <w:proofErr w:type="spellEnd"/>
      <w:r w:rsidRPr="00673ED3">
        <w:rPr>
          <w:lang w:val="en-US"/>
        </w:rPr>
        <w:t xml:space="preserve">) is reapportioned among different tributaries according to our integrated provenance budgets Densities of source rocks used to calculate erosion rates are assumed to be equal to grain density (SRD index of </w:t>
      </w:r>
      <w:proofErr w:type="spellStart"/>
      <w:r w:rsidRPr="00673ED3">
        <w:rPr>
          <w:color w:val="0000FF"/>
          <w:lang w:val="en-US"/>
        </w:rPr>
        <w:t>Garzanti</w:t>
      </w:r>
      <w:proofErr w:type="spellEnd"/>
      <w:r w:rsidRPr="00673ED3">
        <w:rPr>
          <w:color w:val="0000FF"/>
          <w:lang w:val="en-US"/>
        </w:rPr>
        <w:t xml:space="preserve"> and </w:t>
      </w:r>
      <w:proofErr w:type="spellStart"/>
      <w:r w:rsidRPr="00673ED3">
        <w:rPr>
          <w:color w:val="0000FF"/>
          <w:lang w:val="en-US"/>
        </w:rPr>
        <w:t>Andò</w:t>
      </w:r>
      <w:proofErr w:type="spellEnd"/>
      <w:r w:rsidRPr="00673ED3">
        <w:rPr>
          <w:color w:val="0000FF"/>
          <w:lang w:val="en-US"/>
        </w:rPr>
        <w:t>, 2007</w:t>
      </w:r>
      <w:r w:rsidRPr="00673ED3">
        <w:rPr>
          <w:lang w:val="en-US"/>
        </w:rPr>
        <w:t>).</w:t>
      </w:r>
    </w:p>
    <w:p w:rsidR="00753284" w:rsidRDefault="00753284" w:rsidP="009044A8">
      <w:pPr>
        <w:tabs>
          <w:tab w:val="left" w:pos="3686"/>
        </w:tabs>
        <w:ind w:right="-79"/>
        <w:jc w:val="both"/>
        <w:rPr>
          <w:lang w:val="en-US"/>
        </w:rPr>
      </w:pPr>
    </w:p>
    <w:p w:rsidR="00673ED3" w:rsidRDefault="00673ED3" w:rsidP="009044A8">
      <w:pPr>
        <w:tabs>
          <w:tab w:val="left" w:pos="3686"/>
        </w:tabs>
        <w:ind w:right="-79"/>
        <w:jc w:val="both"/>
        <w:rPr>
          <w:lang w:val="en-US"/>
        </w:rPr>
      </w:pPr>
      <w:r w:rsidRPr="00673ED3">
        <w:rPr>
          <w:lang w:val="en-US"/>
        </w:rPr>
        <w:t>CITED REFERENCES</w:t>
      </w:r>
    </w:p>
    <w:p w:rsidR="00753284" w:rsidRDefault="00753284" w:rsidP="009044A8">
      <w:pPr>
        <w:tabs>
          <w:tab w:val="left" w:pos="3686"/>
        </w:tabs>
        <w:ind w:left="425" w:right="-291" w:hanging="425"/>
        <w:jc w:val="both"/>
        <w:rPr>
          <w:sz w:val="22"/>
          <w:szCs w:val="22"/>
          <w:lang w:val="en-US"/>
        </w:rPr>
      </w:pPr>
    </w:p>
    <w:p w:rsidR="00753284" w:rsidRPr="00753284" w:rsidRDefault="00753284" w:rsidP="009044A8">
      <w:pPr>
        <w:tabs>
          <w:tab w:val="left" w:pos="3686"/>
        </w:tabs>
        <w:spacing w:after="120" w:line="340" w:lineRule="exact"/>
        <w:ind w:left="425" w:right="-289" w:hanging="425"/>
        <w:jc w:val="both"/>
        <w:rPr>
          <w:sz w:val="22"/>
          <w:szCs w:val="22"/>
          <w:lang w:val="en-US"/>
        </w:rPr>
      </w:pPr>
      <w:proofErr w:type="spellStart"/>
      <w:r w:rsidRPr="00753284">
        <w:rPr>
          <w:sz w:val="22"/>
          <w:szCs w:val="22"/>
          <w:lang w:val="en-US"/>
        </w:rPr>
        <w:t>Aitchison</w:t>
      </w:r>
      <w:proofErr w:type="spellEnd"/>
      <w:r w:rsidRPr="00753284">
        <w:rPr>
          <w:sz w:val="22"/>
          <w:szCs w:val="22"/>
          <w:lang w:val="en-US"/>
        </w:rPr>
        <w:t>, J., 1986. The statistical analysis of compositional data. Chapman and Hall, London.</w:t>
      </w:r>
    </w:p>
    <w:p w:rsidR="00673ED3" w:rsidRPr="00673ED3" w:rsidRDefault="00673ED3" w:rsidP="009044A8">
      <w:pPr>
        <w:tabs>
          <w:tab w:val="left" w:pos="3686"/>
        </w:tabs>
        <w:spacing w:after="120" w:line="340" w:lineRule="exact"/>
        <w:ind w:left="425" w:right="-289" w:hanging="425"/>
        <w:jc w:val="both"/>
        <w:rPr>
          <w:sz w:val="22"/>
          <w:szCs w:val="22"/>
          <w:lang w:val="en-GB"/>
        </w:rPr>
      </w:pPr>
      <w:proofErr w:type="spellStart"/>
      <w:r w:rsidRPr="00AD06A3">
        <w:rPr>
          <w:sz w:val="22"/>
          <w:szCs w:val="22"/>
          <w:lang w:val="en-US"/>
        </w:rPr>
        <w:t>Andó</w:t>
      </w:r>
      <w:proofErr w:type="spellEnd"/>
      <w:r w:rsidRPr="00AD06A3">
        <w:rPr>
          <w:sz w:val="22"/>
          <w:szCs w:val="22"/>
          <w:lang w:val="en-US"/>
        </w:rPr>
        <w:t xml:space="preserve">, S., Morton, A., </w:t>
      </w:r>
      <w:proofErr w:type="spellStart"/>
      <w:r w:rsidRPr="00AD06A3">
        <w:rPr>
          <w:sz w:val="22"/>
          <w:szCs w:val="22"/>
          <w:lang w:val="en-US"/>
        </w:rPr>
        <w:t>Garzanti</w:t>
      </w:r>
      <w:proofErr w:type="spellEnd"/>
      <w:r w:rsidRPr="00AD06A3">
        <w:rPr>
          <w:sz w:val="22"/>
          <w:szCs w:val="22"/>
          <w:lang w:val="en-US"/>
        </w:rPr>
        <w:t xml:space="preserve">, E., 2014. </w:t>
      </w:r>
      <w:r w:rsidRPr="00673ED3">
        <w:rPr>
          <w:sz w:val="22"/>
          <w:szCs w:val="22"/>
          <w:lang w:val="en-GB"/>
        </w:rPr>
        <w:t>Metamorphic grade of source rocks revealed by chemical fingerprints of detrital amphibole and garnet. In: Scott, R., Smyth. H., Morton, A., Richardson, N. (Eds.), Sediment provenance studies in hydrocarbon exploration and production. Geological Society London, Special Publications 386, 351-371.</w:t>
      </w:r>
    </w:p>
    <w:p w:rsidR="00753284" w:rsidRPr="00753284" w:rsidRDefault="00753284" w:rsidP="009044A8">
      <w:pPr>
        <w:tabs>
          <w:tab w:val="left" w:pos="3686"/>
        </w:tabs>
        <w:spacing w:after="120" w:line="340" w:lineRule="exact"/>
        <w:ind w:left="425" w:right="-289" w:hanging="425"/>
        <w:jc w:val="both"/>
        <w:rPr>
          <w:sz w:val="22"/>
          <w:szCs w:val="22"/>
          <w:lang w:val="en-US"/>
        </w:rPr>
      </w:pPr>
      <w:proofErr w:type="spellStart"/>
      <w:r w:rsidRPr="00753284">
        <w:rPr>
          <w:sz w:val="22"/>
          <w:szCs w:val="22"/>
          <w:lang w:val="en-US"/>
        </w:rPr>
        <w:lastRenderedPageBreak/>
        <w:t>Buccianti</w:t>
      </w:r>
      <w:proofErr w:type="spellEnd"/>
      <w:r w:rsidRPr="00753284">
        <w:rPr>
          <w:sz w:val="22"/>
          <w:szCs w:val="22"/>
          <w:lang w:val="en-US"/>
        </w:rPr>
        <w:t xml:space="preserve">, A., </w:t>
      </w:r>
      <w:proofErr w:type="spellStart"/>
      <w:r w:rsidRPr="00753284">
        <w:rPr>
          <w:sz w:val="22"/>
          <w:szCs w:val="22"/>
          <w:lang w:val="en-US"/>
        </w:rPr>
        <w:t>Mateu-Figueras</w:t>
      </w:r>
      <w:proofErr w:type="spellEnd"/>
      <w:r w:rsidRPr="00753284">
        <w:rPr>
          <w:sz w:val="22"/>
          <w:szCs w:val="22"/>
          <w:lang w:val="en-US"/>
        </w:rPr>
        <w:t xml:space="preserve">, G., </w:t>
      </w:r>
      <w:proofErr w:type="spellStart"/>
      <w:r w:rsidRPr="00753284">
        <w:rPr>
          <w:sz w:val="22"/>
          <w:szCs w:val="22"/>
          <w:lang w:val="en-US"/>
        </w:rPr>
        <w:t>Pawlowsky-Glahn</w:t>
      </w:r>
      <w:proofErr w:type="spellEnd"/>
      <w:r w:rsidRPr="00753284">
        <w:rPr>
          <w:sz w:val="22"/>
          <w:szCs w:val="22"/>
          <w:lang w:val="en-US"/>
        </w:rPr>
        <w:t>, V. (Eds.), 2006. Compositional Data Analysis in the Geosciences: From Theory to Practice. Geological Society, Special Publications 264, London.</w:t>
      </w:r>
    </w:p>
    <w:p w:rsidR="00753284" w:rsidRPr="00753284" w:rsidRDefault="00753284" w:rsidP="009044A8">
      <w:pPr>
        <w:pStyle w:val="FreeFormA"/>
        <w:tabs>
          <w:tab w:val="left" w:pos="3686"/>
        </w:tabs>
        <w:spacing w:after="120" w:line="340" w:lineRule="exact"/>
        <w:ind w:left="425" w:right="-289" w:hanging="425"/>
        <w:jc w:val="both"/>
        <w:rPr>
          <w:rFonts w:ascii="Times New Roman" w:hAnsi="Times New Roman"/>
          <w:color w:val="auto"/>
          <w:sz w:val="22"/>
          <w:szCs w:val="22"/>
        </w:rPr>
      </w:pPr>
      <w:proofErr w:type="spellStart"/>
      <w:r w:rsidRPr="00E5315A">
        <w:rPr>
          <w:rFonts w:ascii="Times New Roman" w:hAnsi="Times New Roman"/>
          <w:color w:val="auto"/>
          <w:sz w:val="22"/>
          <w:szCs w:val="22"/>
          <w:lang w:val="en-GB"/>
        </w:rPr>
        <w:t>Chayes</w:t>
      </w:r>
      <w:proofErr w:type="spellEnd"/>
      <w:r w:rsidRPr="00E5315A">
        <w:rPr>
          <w:rFonts w:ascii="Times New Roman" w:hAnsi="Times New Roman"/>
          <w:color w:val="auto"/>
          <w:sz w:val="22"/>
          <w:szCs w:val="22"/>
          <w:lang w:val="en-GB"/>
        </w:rPr>
        <w:t xml:space="preserve">, F. (1971). Ratio correlation: A manual for students of petrology and geochemistry. </w:t>
      </w:r>
      <w:r w:rsidRPr="00753284">
        <w:rPr>
          <w:rFonts w:ascii="Times New Roman" w:hAnsi="Times New Roman"/>
          <w:color w:val="auto"/>
          <w:sz w:val="22"/>
          <w:szCs w:val="22"/>
        </w:rPr>
        <w:t>Univ. Chicago Press, Chicago (USA), 99 p.</w:t>
      </w:r>
    </w:p>
    <w:p w:rsidR="00753284" w:rsidRPr="00753284" w:rsidRDefault="00753284" w:rsidP="009044A8">
      <w:pPr>
        <w:tabs>
          <w:tab w:val="left" w:pos="3686"/>
        </w:tabs>
        <w:spacing w:after="120" w:line="340" w:lineRule="exact"/>
        <w:ind w:left="425" w:right="-289" w:hanging="425"/>
        <w:jc w:val="both"/>
        <w:rPr>
          <w:sz w:val="22"/>
          <w:szCs w:val="22"/>
          <w:lang w:val="en-US"/>
        </w:rPr>
      </w:pPr>
      <w:r w:rsidRPr="00753284">
        <w:rPr>
          <w:sz w:val="22"/>
          <w:szCs w:val="22"/>
          <w:lang w:val="en-US"/>
        </w:rPr>
        <w:t>Draper, N., and Smith, H. 1981. Applied regression analysis (2nd ed.). New York, Wiley, 709 p.</w:t>
      </w:r>
    </w:p>
    <w:p w:rsidR="00753284" w:rsidRPr="00753284" w:rsidRDefault="00753284" w:rsidP="009044A8">
      <w:pPr>
        <w:tabs>
          <w:tab w:val="left" w:pos="3686"/>
        </w:tabs>
        <w:spacing w:after="120" w:line="340" w:lineRule="exact"/>
        <w:ind w:left="425" w:right="-289" w:hanging="425"/>
        <w:jc w:val="both"/>
        <w:rPr>
          <w:sz w:val="22"/>
          <w:szCs w:val="22"/>
          <w:lang w:val="en-US"/>
        </w:rPr>
      </w:pPr>
      <w:proofErr w:type="spellStart"/>
      <w:r w:rsidRPr="00753284">
        <w:rPr>
          <w:sz w:val="22"/>
          <w:szCs w:val="22"/>
          <w:lang w:val="en-US"/>
        </w:rPr>
        <w:t>Egozcue</w:t>
      </w:r>
      <w:proofErr w:type="spellEnd"/>
      <w:r w:rsidRPr="00753284">
        <w:rPr>
          <w:sz w:val="22"/>
          <w:szCs w:val="22"/>
          <w:lang w:val="en-US"/>
        </w:rPr>
        <w:t xml:space="preserve">, J. J., </w:t>
      </w:r>
      <w:proofErr w:type="spellStart"/>
      <w:r w:rsidRPr="00753284">
        <w:rPr>
          <w:sz w:val="22"/>
          <w:szCs w:val="22"/>
          <w:lang w:val="en-US"/>
        </w:rPr>
        <w:t>Pawlowsky-Glahn</w:t>
      </w:r>
      <w:proofErr w:type="spellEnd"/>
      <w:r w:rsidRPr="00753284">
        <w:rPr>
          <w:sz w:val="22"/>
          <w:szCs w:val="22"/>
          <w:lang w:val="en-US"/>
        </w:rPr>
        <w:t xml:space="preserve">, V., </w:t>
      </w:r>
      <w:proofErr w:type="spellStart"/>
      <w:r w:rsidRPr="00753284">
        <w:rPr>
          <w:sz w:val="22"/>
          <w:szCs w:val="22"/>
          <w:lang w:val="en-US"/>
        </w:rPr>
        <w:t>Mateu-Figueraz</w:t>
      </w:r>
      <w:proofErr w:type="spellEnd"/>
      <w:r w:rsidRPr="00753284">
        <w:rPr>
          <w:sz w:val="22"/>
          <w:szCs w:val="22"/>
          <w:lang w:val="en-US"/>
        </w:rPr>
        <w:t xml:space="preserve">, G., Barceló-Vidal, C., 2003. Isometric </w:t>
      </w:r>
      <w:proofErr w:type="spellStart"/>
      <w:r w:rsidRPr="00753284">
        <w:rPr>
          <w:sz w:val="22"/>
          <w:szCs w:val="22"/>
          <w:lang w:val="en-US"/>
        </w:rPr>
        <w:t>logratio</w:t>
      </w:r>
      <w:proofErr w:type="spellEnd"/>
      <w:r w:rsidRPr="00753284">
        <w:rPr>
          <w:sz w:val="22"/>
          <w:szCs w:val="22"/>
          <w:lang w:val="en-US"/>
        </w:rPr>
        <w:t xml:space="preserve"> transformations for compositional data analysis. Math. Geol. 35, 279-300.</w:t>
      </w:r>
    </w:p>
    <w:p w:rsidR="00673ED3" w:rsidRPr="00673ED3" w:rsidRDefault="00673ED3" w:rsidP="009044A8">
      <w:pPr>
        <w:tabs>
          <w:tab w:val="left" w:pos="3686"/>
        </w:tabs>
        <w:spacing w:after="120" w:line="340" w:lineRule="exact"/>
        <w:ind w:left="425" w:right="-289" w:hanging="425"/>
        <w:jc w:val="both"/>
        <w:rPr>
          <w:sz w:val="22"/>
          <w:szCs w:val="22"/>
          <w:lang w:val="en-GB"/>
        </w:rPr>
      </w:pPr>
      <w:proofErr w:type="spellStart"/>
      <w:r w:rsidRPr="00673ED3">
        <w:rPr>
          <w:sz w:val="22"/>
          <w:szCs w:val="22"/>
          <w:lang w:val="en-GB"/>
        </w:rPr>
        <w:t>Furuichi</w:t>
      </w:r>
      <w:proofErr w:type="spellEnd"/>
      <w:r w:rsidRPr="00673ED3">
        <w:rPr>
          <w:sz w:val="22"/>
          <w:szCs w:val="22"/>
          <w:lang w:val="en-GB"/>
        </w:rPr>
        <w:t xml:space="preserve">, T., Win, Z., Wasson, R.J., 2009. Discharge and suspended sediment transport in the </w:t>
      </w:r>
      <w:proofErr w:type="spellStart"/>
      <w:r w:rsidRPr="00673ED3">
        <w:rPr>
          <w:sz w:val="22"/>
          <w:szCs w:val="22"/>
          <w:lang w:val="en-GB"/>
        </w:rPr>
        <w:t>Ayeyarwady</w:t>
      </w:r>
      <w:proofErr w:type="spellEnd"/>
      <w:r w:rsidRPr="00673ED3">
        <w:rPr>
          <w:sz w:val="22"/>
          <w:szCs w:val="22"/>
          <w:lang w:val="en-GB"/>
        </w:rPr>
        <w:t xml:space="preserve"> River, Myanmar: centennial and decadal changes. Hydrological processes, 23, 1631-1641.</w:t>
      </w:r>
    </w:p>
    <w:p w:rsidR="00D06FC0" w:rsidRPr="007F190F" w:rsidRDefault="00D06FC0" w:rsidP="009044A8">
      <w:pPr>
        <w:tabs>
          <w:tab w:val="left" w:pos="3686"/>
        </w:tabs>
        <w:spacing w:after="120" w:line="340" w:lineRule="exact"/>
        <w:ind w:left="425" w:right="-289" w:hanging="425"/>
        <w:jc w:val="both"/>
        <w:rPr>
          <w:sz w:val="22"/>
          <w:szCs w:val="22"/>
          <w:lang w:val="en-GB"/>
        </w:rPr>
      </w:pPr>
      <w:proofErr w:type="spellStart"/>
      <w:r w:rsidRPr="007F190F">
        <w:rPr>
          <w:sz w:val="22"/>
          <w:szCs w:val="22"/>
          <w:lang w:val="en-US"/>
        </w:rPr>
        <w:t>Garzanti</w:t>
      </w:r>
      <w:proofErr w:type="spellEnd"/>
      <w:r w:rsidRPr="007F190F">
        <w:rPr>
          <w:sz w:val="22"/>
          <w:szCs w:val="22"/>
          <w:lang w:val="en-US"/>
        </w:rPr>
        <w:t xml:space="preserve">, E., </w:t>
      </w:r>
      <w:proofErr w:type="spellStart"/>
      <w:r w:rsidRPr="007F190F">
        <w:rPr>
          <w:sz w:val="22"/>
          <w:szCs w:val="22"/>
          <w:lang w:val="en-US"/>
        </w:rPr>
        <w:t>And</w:t>
      </w:r>
      <w:r w:rsidRPr="00A0751F">
        <w:rPr>
          <w:sz w:val="22"/>
          <w:szCs w:val="22"/>
          <w:lang w:val="en-US"/>
        </w:rPr>
        <w:t>ó</w:t>
      </w:r>
      <w:proofErr w:type="spellEnd"/>
      <w:r w:rsidRPr="007F190F">
        <w:rPr>
          <w:sz w:val="22"/>
          <w:szCs w:val="22"/>
          <w:lang w:val="en-US"/>
        </w:rPr>
        <w:t xml:space="preserve">, S., 2007. </w:t>
      </w:r>
      <w:r w:rsidRPr="007F190F">
        <w:rPr>
          <w:sz w:val="22"/>
          <w:szCs w:val="22"/>
          <w:lang w:val="en-GB"/>
        </w:rPr>
        <w:t xml:space="preserve">Heavy-mineral concentration in modern sands: implications for provenance interpretation. In: Mange, M.A., Wright, D.T. (Eds.), Heavy Minerals in Use. Elsevier, Amsterdam, Developments in </w:t>
      </w:r>
      <w:proofErr w:type="spellStart"/>
      <w:r w:rsidRPr="007F190F">
        <w:rPr>
          <w:sz w:val="22"/>
          <w:szCs w:val="22"/>
          <w:lang w:val="en-GB"/>
        </w:rPr>
        <w:t>Sedimentology</w:t>
      </w:r>
      <w:proofErr w:type="spellEnd"/>
      <w:r w:rsidRPr="007F190F">
        <w:rPr>
          <w:sz w:val="22"/>
          <w:szCs w:val="22"/>
          <w:lang w:val="en-GB"/>
        </w:rPr>
        <w:t xml:space="preserve"> Series 58, pp. 517-545.</w:t>
      </w:r>
    </w:p>
    <w:p w:rsidR="00D06FC0" w:rsidRPr="007F190F" w:rsidRDefault="00D06FC0" w:rsidP="009044A8">
      <w:pPr>
        <w:tabs>
          <w:tab w:val="left" w:pos="3686"/>
        </w:tabs>
        <w:spacing w:after="120" w:line="340" w:lineRule="exact"/>
        <w:ind w:left="425" w:right="-289" w:hanging="425"/>
        <w:jc w:val="both"/>
        <w:rPr>
          <w:sz w:val="22"/>
          <w:szCs w:val="22"/>
          <w:lang w:val="en-GB"/>
        </w:rPr>
      </w:pPr>
      <w:proofErr w:type="spellStart"/>
      <w:r w:rsidRPr="00D06FC0">
        <w:rPr>
          <w:sz w:val="22"/>
          <w:szCs w:val="22"/>
          <w:lang w:val="en-US"/>
        </w:rPr>
        <w:t>Garzanti</w:t>
      </w:r>
      <w:proofErr w:type="spellEnd"/>
      <w:r w:rsidRPr="00D06FC0">
        <w:rPr>
          <w:sz w:val="22"/>
          <w:szCs w:val="22"/>
          <w:lang w:val="en-US"/>
        </w:rPr>
        <w:t xml:space="preserve">, E., </w:t>
      </w:r>
      <w:proofErr w:type="spellStart"/>
      <w:r w:rsidRPr="00D06FC0">
        <w:rPr>
          <w:sz w:val="22"/>
          <w:szCs w:val="22"/>
          <w:lang w:val="en-US"/>
        </w:rPr>
        <w:t>Vezzoli</w:t>
      </w:r>
      <w:proofErr w:type="spellEnd"/>
      <w:r w:rsidRPr="00D06FC0">
        <w:rPr>
          <w:sz w:val="22"/>
          <w:szCs w:val="22"/>
          <w:lang w:val="en-US"/>
        </w:rPr>
        <w:t xml:space="preserve">, G. 2003. </w:t>
      </w:r>
      <w:r w:rsidRPr="007F190F">
        <w:rPr>
          <w:sz w:val="22"/>
          <w:szCs w:val="22"/>
          <w:lang w:val="en-GB"/>
        </w:rPr>
        <w:t>A classification of metamorphic grains in sands based on their composition and grade. Journal of Sedimentary Research, 73, 830-837.</w:t>
      </w:r>
    </w:p>
    <w:p w:rsidR="00673ED3" w:rsidRPr="00673ED3" w:rsidRDefault="00673ED3" w:rsidP="009044A8">
      <w:pPr>
        <w:tabs>
          <w:tab w:val="left" w:pos="3686"/>
        </w:tabs>
        <w:spacing w:after="120" w:line="340" w:lineRule="exact"/>
        <w:ind w:left="425" w:right="-289" w:hanging="425"/>
        <w:jc w:val="both"/>
        <w:rPr>
          <w:sz w:val="22"/>
          <w:szCs w:val="22"/>
          <w:lang w:val="en-GB"/>
        </w:rPr>
      </w:pPr>
      <w:r w:rsidRPr="00673ED3">
        <w:rPr>
          <w:sz w:val="22"/>
          <w:szCs w:val="22"/>
          <w:lang w:val="en-GB"/>
        </w:rPr>
        <w:t>Hay, W.W., 1998. Detrital sediment fluxes from continents to oceans. Chemical geology, 145, 287-323.</w:t>
      </w:r>
    </w:p>
    <w:p w:rsidR="00673ED3" w:rsidRPr="00673ED3" w:rsidRDefault="00673ED3" w:rsidP="009044A8">
      <w:pPr>
        <w:tabs>
          <w:tab w:val="left" w:pos="3686"/>
        </w:tabs>
        <w:spacing w:after="120" w:line="340" w:lineRule="exact"/>
        <w:ind w:left="425" w:right="-289" w:hanging="425"/>
        <w:jc w:val="both"/>
        <w:rPr>
          <w:sz w:val="22"/>
          <w:szCs w:val="22"/>
          <w:lang w:val="en-GB"/>
        </w:rPr>
      </w:pPr>
      <w:r w:rsidRPr="00673ED3">
        <w:rPr>
          <w:sz w:val="22"/>
          <w:szCs w:val="22"/>
          <w:lang w:val="en-GB"/>
        </w:rPr>
        <w:t>Hubert, J.F. 1962. A zircon-tourmaline-</w:t>
      </w:r>
      <w:proofErr w:type="spellStart"/>
      <w:r w:rsidRPr="00673ED3">
        <w:rPr>
          <w:sz w:val="22"/>
          <w:szCs w:val="22"/>
          <w:lang w:val="en-GB"/>
        </w:rPr>
        <w:t>rutile</w:t>
      </w:r>
      <w:proofErr w:type="spellEnd"/>
      <w:r w:rsidRPr="00673ED3">
        <w:rPr>
          <w:sz w:val="22"/>
          <w:szCs w:val="22"/>
          <w:lang w:val="en-GB"/>
        </w:rPr>
        <w:t xml:space="preserve"> maturity index and the interdependence of the composition of heavy minerals assemblages with the gross composition and texture of sandstones. Journal of Sedimentary Petrology 32:440-450.</w:t>
      </w:r>
    </w:p>
    <w:p w:rsidR="00753284" w:rsidRPr="00753284" w:rsidRDefault="00753284" w:rsidP="009044A8">
      <w:pPr>
        <w:tabs>
          <w:tab w:val="left" w:pos="3686"/>
        </w:tabs>
        <w:spacing w:after="120" w:line="340" w:lineRule="exact"/>
        <w:ind w:left="425" w:right="-289" w:hanging="425"/>
        <w:jc w:val="both"/>
        <w:rPr>
          <w:sz w:val="22"/>
          <w:szCs w:val="22"/>
          <w:lang w:val="en-US"/>
        </w:rPr>
      </w:pPr>
      <w:proofErr w:type="spellStart"/>
      <w:r w:rsidRPr="00753284">
        <w:rPr>
          <w:sz w:val="22"/>
          <w:szCs w:val="22"/>
          <w:lang w:val="en-US"/>
        </w:rPr>
        <w:t>Pawlowsky-Glahn</w:t>
      </w:r>
      <w:proofErr w:type="spellEnd"/>
      <w:r w:rsidRPr="00753284">
        <w:rPr>
          <w:sz w:val="22"/>
          <w:szCs w:val="22"/>
          <w:lang w:val="en-US"/>
        </w:rPr>
        <w:t xml:space="preserve">, V., </w:t>
      </w:r>
      <w:proofErr w:type="spellStart"/>
      <w:r w:rsidRPr="00753284">
        <w:rPr>
          <w:sz w:val="22"/>
          <w:szCs w:val="22"/>
          <w:lang w:val="en-US"/>
        </w:rPr>
        <w:t>Egozcue</w:t>
      </w:r>
      <w:proofErr w:type="spellEnd"/>
      <w:r w:rsidRPr="00753284">
        <w:rPr>
          <w:sz w:val="22"/>
          <w:szCs w:val="22"/>
          <w:lang w:val="en-US"/>
        </w:rPr>
        <w:t xml:space="preserve">, J.J., 2006. Compositional data and their analysis: an introduction. In: </w:t>
      </w:r>
      <w:proofErr w:type="spellStart"/>
      <w:r w:rsidRPr="00753284">
        <w:rPr>
          <w:sz w:val="22"/>
          <w:szCs w:val="22"/>
          <w:lang w:val="en-US"/>
        </w:rPr>
        <w:t>Buccianti</w:t>
      </w:r>
      <w:proofErr w:type="spellEnd"/>
      <w:r w:rsidRPr="00753284">
        <w:rPr>
          <w:sz w:val="22"/>
          <w:szCs w:val="22"/>
          <w:lang w:val="en-US"/>
        </w:rPr>
        <w:t xml:space="preserve">, A., </w:t>
      </w:r>
      <w:proofErr w:type="spellStart"/>
      <w:r w:rsidRPr="00753284">
        <w:rPr>
          <w:sz w:val="22"/>
          <w:szCs w:val="22"/>
          <w:lang w:val="en-US"/>
        </w:rPr>
        <w:t>Mateu-Figueras</w:t>
      </w:r>
      <w:proofErr w:type="spellEnd"/>
      <w:r w:rsidRPr="00753284">
        <w:rPr>
          <w:sz w:val="22"/>
          <w:szCs w:val="22"/>
          <w:lang w:val="en-US"/>
        </w:rPr>
        <w:t xml:space="preserve">, G., </w:t>
      </w:r>
      <w:proofErr w:type="spellStart"/>
      <w:r w:rsidRPr="00753284">
        <w:rPr>
          <w:sz w:val="22"/>
          <w:szCs w:val="22"/>
          <w:lang w:val="en-US"/>
        </w:rPr>
        <w:t>Pawlowsky</w:t>
      </w:r>
      <w:proofErr w:type="spellEnd"/>
      <w:r w:rsidRPr="00753284">
        <w:rPr>
          <w:sz w:val="22"/>
          <w:szCs w:val="22"/>
          <w:lang w:val="en-US"/>
        </w:rPr>
        <w:t xml:space="preserve">- </w:t>
      </w:r>
      <w:proofErr w:type="spellStart"/>
      <w:r w:rsidRPr="00753284">
        <w:rPr>
          <w:sz w:val="22"/>
          <w:szCs w:val="22"/>
          <w:lang w:val="en-US"/>
        </w:rPr>
        <w:t>Glahn</w:t>
      </w:r>
      <w:proofErr w:type="spellEnd"/>
      <w:r w:rsidRPr="00753284">
        <w:rPr>
          <w:sz w:val="22"/>
          <w:szCs w:val="22"/>
          <w:lang w:val="en-US"/>
        </w:rPr>
        <w:t>, V. (Eds.), Compositional data analysis in the geosciences: From theory to practice. Geological Society of London Special Publications 264, pp. 1–10.</w:t>
      </w:r>
    </w:p>
    <w:p w:rsidR="00753284" w:rsidRPr="00753284" w:rsidRDefault="00753284" w:rsidP="009044A8">
      <w:pPr>
        <w:tabs>
          <w:tab w:val="left" w:pos="3686"/>
        </w:tabs>
        <w:spacing w:after="120" w:line="340" w:lineRule="exact"/>
        <w:ind w:left="425" w:right="-289" w:hanging="425"/>
        <w:jc w:val="both"/>
        <w:rPr>
          <w:sz w:val="22"/>
          <w:szCs w:val="22"/>
          <w:lang w:val="en-US"/>
        </w:rPr>
      </w:pPr>
      <w:r w:rsidRPr="00753284">
        <w:rPr>
          <w:sz w:val="22"/>
          <w:szCs w:val="22"/>
          <w:lang w:val="en-US"/>
        </w:rPr>
        <w:t>Pearson, K., 1897. Mathematical contributions to the theory of evolution. On a form of spurious correlation which may arise when indices are used in the measurement of organs. Proceedings of the Royal Society of London LX, 489–502.</w:t>
      </w:r>
    </w:p>
    <w:p w:rsidR="00673ED3" w:rsidRPr="00673ED3" w:rsidRDefault="00673ED3" w:rsidP="009044A8">
      <w:pPr>
        <w:tabs>
          <w:tab w:val="left" w:pos="3686"/>
        </w:tabs>
        <w:spacing w:after="120" w:line="340" w:lineRule="exact"/>
        <w:ind w:left="425" w:right="-289" w:hanging="425"/>
        <w:jc w:val="both"/>
        <w:rPr>
          <w:sz w:val="22"/>
          <w:szCs w:val="22"/>
          <w:lang w:val="en-GB"/>
        </w:rPr>
      </w:pPr>
      <w:r w:rsidRPr="00673ED3">
        <w:rPr>
          <w:sz w:val="22"/>
          <w:szCs w:val="22"/>
          <w:lang w:val="en-GB"/>
        </w:rPr>
        <w:t xml:space="preserve">Ra, K., 2011. Water quality management at river basin in Myanmar, 3rd WEPA </w:t>
      </w:r>
      <w:proofErr w:type="spellStart"/>
      <w:r w:rsidRPr="00673ED3">
        <w:rPr>
          <w:sz w:val="22"/>
          <w:szCs w:val="22"/>
          <w:lang w:val="en-GB"/>
        </w:rPr>
        <w:t>Internation</w:t>
      </w:r>
      <w:proofErr w:type="spellEnd"/>
      <w:r w:rsidRPr="00673ED3">
        <w:rPr>
          <w:sz w:val="22"/>
          <w:szCs w:val="22"/>
          <w:lang w:val="en-GB"/>
        </w:rPr>
        <w:t xml:space="preserve"> Workshop, Manila, 14 pp.</w:t>
      </w:r>
    </w:p>
    <w:p w:rsidR="00673ED3" w:rsidRPr="00673ED3" w:rsidRDefault="00673ED3" w:rsidP="009044A8">
      <w:pPr>
        <w:tabs>
          <w:tab w:val="left" w:pos="3686"/>
        </w:tabs>
        <w:spacing w:after="120" w:line="340" w:lineRule="exact"/>
        <w:ind w:left="425" w:right="-289" w:hanging="425"/>
        <w:jc w:val="both"/>
        <w:rPr>
          <w:sz w:val="22"/>
          <w:szCs w:val="22"/>
          <w:lang w:val="en-GB"/>
        </w:rPr>
      </w:pPr>
      <w:r w:rsidRPr="00673ED3">
        <w:rPr>
          <w:sz w:val="22"/>
          <w:szCs w:val="22"/>
          <w:lang w:val="en-GB"/>
        </w:rPr>
        <w:t xml:space="preserve">Robinson, R.A.J., Bird, M.I., </w:t>
      </w:r>
      <w:proofErr w:type="spellStart"/>
      <w:r w:rsidRPr="00673ED3">
        <w:rPr>
          <w:sz w:val="22"/>
          <w:szCs w:val="22"/>
          <w:lang w:val="en-GB"/>
        </w:rPr>
        <w:t>Oo</w:t>
      </w:r>
      <w:proofErr w:type="spellEnd"/>
      <w:r w:rsidRPr="00673ED3">
        <w:rPr>
          <w:sz w:val="22"/>
          <w:szCs w:val="22"/>
          <w:lang w:val="en-GB"/>
        </w:rPr>
        <w:t xml:space="preserve">, N.W., </w:t>
      </w:r>
      <w:proofErr w:type="spellStart"/>
      <w:r w:rsidRPr="00673ED3">
        <w:rPr>
          <w:sz w:val="22"/>
          <w:szCs w:val="22"/>
          <w:lang w:val="en-GB"/>
        </w:rPr>
        <w:t>Hoey</w:t>
      </w:r>
      <w:proofErr w:type="spellEnd"/>
      <w:r w:rsidRPr="00673ED3">
        <w:rPr>
          <w:sz w:val="22"/>
          <w:szCs w:val="22"/>
          <w:lang w:val="en-GB"/>
        </w:rPr>
        <w:t xml:space="preserve">, T.B., Aye, M.M., </w:t>
      </w:r>
      <w:proofErr w:type="spellStart"/>
      <w:r w:rsidRPr="00673ED3">
        <w:rPr>
          <w:sz w:val="22"/>
          <w:szCs w:val="22"/>
          <w:lang w:val="en-GB"/>
        </w:rPr>
        <w:t>Higgitt</w:t>
      </w:r>
      <w:proofErr w:type="spellEnd"/>
      <w:r w:rsidRPr="00673ED3">
        <w:rPr>
          <w:sz w:val="22"/>
          <w:szCs w:val="22"/>
          <w:lang w:val="en-GB"/>
        </w:rPr>
        <w:t xml:space="preserve">, D.L., Lu, X.X., </w:t>
      </w:r>
      <w:proofErr w:type="spellStart"/>
      <w:r w:rsidRPr="00673ED3">
        <w:rPr>
          <w:sz w:val="22"/>
          <w:szCs w:val="22"/>
          <w:lang w:val="en-GB"/>
        </w:rPr>
        <w:t>Swe</w:t>
      </w:r>
      <w:proofErr w:type="spellEnd"/>
      <w:r w:rsidRPr="00673ED3">
        <w:rPr>
          <w:sz w:val="22"/>
          <w:szCs w:val="22"/>
          <w:lang w:val="en-GB"/>
        </w:rPr>
        <w:t xml:space="preserve">, A., </w:t>
      </w:r>
      <w:proofErr w:type="spellStart"/>
      <w:r w:rsidRPr="00673ED3">
        <w:rPr>
          <w:sz w:val="22"/>
          <w:szCs w:val="22"/>
          <w:lang w:val="en-GB"/>
        </w:rPr>
        <w:t>Tun</w:t>
      </w:r>
      <w:proofErr w:type="spellEnd"/>
      <w:r w:rsidRPr="00673ED3">
        <w:rPr>
          <w:sz w:val="22"/>
          <w:szCs w:val="22"/>
          <w:lang w:val="en-GB"/>
        </w:rPr>
        <w:t>, T., Win, S.L., 2007. The Irrawaddy River sediment flux to the Indian Ocean: the original nineteenth-century data revisited. The Journal of Geology, 115, 629-640.</w:t>
      </w:r>
    </w:p>
    <w:p w:rsidR="00753284" w:rsidRPr="00E5315A" w:rsidRDefault="00753284" w:rsidP="009044A8">
      <w:pPr>
        <w:tabs>
          <w:tab w:val="left" w:pos="3686"/>
        </w:tabs>
        <w:spacing w:after="120" w:line="340" w:lineRule="exact"/>
        <w:ind w:left="425" w:right="-289" w:hanging="425"/>
        <w:jc w:val="both"/>
        <w:rPr>
          <w:sz w:val="22"/>
          <w:szCs w:val="22"/>
          <w:lang w:val="en-GB"/>
        </w:rPr>
      </w:pPr>
      <w:proofErr w:type="spellStart"/>
      <w:r w:rsidRPr="00753284">
        <w:rPr>
          <w:sz w:val="22"/>
          <w:szCs w:val="22"/>
          <w:lang w:val="en-US"/>
        </w:rPr>
        <w:t>Weltje</w:t>
      </w:r>
      <w:proofErr w:type="spellEnd"/>
      <w:r w:rsidRPr="00753284">
        <w:rPr>
          <w:sz w:val="22"/>
          <w:szCs w:val="22"/>
          <w:lang w:val="en-US"/>
        </w:rPr>
        <w:t xml:space="preserve">, G. J., 1997. End-member </w:t>
      </w:r>
      <w:proofErr w:type="spellStart"/>
      <w:r w:rsidRPr="00753284">
        <w:rPr>
          <w:sz w:val="22"/>
          <w:szCs w:val="22"/>
          <w:lang w:val="en-US"/>
        </w:rPr>
        <w:t>modelling</w:t>
      </w:r>
      <w:proofErr w:type="spellEnd"/>
      <w:r w:rsidRPr="00753284">
        <w:rPr>
          <w:sz w:val="22"/>
          <w:szCs w:val="22"/>
          <w:lang w:val="en-US"/>
        </w:rPr>
        <w:t xml:space="preserve"> of compositional data: numerical statistical algorithms for solving the explicit mixing problem. </w:t>
      </w:r>
      <w:r w:rsidRPr="00E5315A">
        <w:rPr>
          <w:sz w:val="22"/>
          <w:szCs w:val="22"/>
          <w:lang w:val="en-GB"/>
        </w:rPr>
        <w:t>Math. Geol. 29, 503-549.</w:t>
      </w:r>
    </w:p>
    <w:p w:rsidR="00753284" w:rsidRPr="00E5315A" w:rsidRDefault="00753284" w:rsidP="009044A8">
      <w:pPr>
        <w:pStyle w:val="FreeFormA"/>
        <w:tabs>
          <w:tab w:val="left" w:pos="3686"/>
        </w:tabs>
        <w:spacing w:after="120" w:line="340" w:lineRule="exact"/>
        <w:ind w:left="425" w:right="-289" w:hanging="425"/>
        <w:jc w:val="both"/>
        <w:rPr>
          <w:rFonts w:ascii="Times New Roman" w:hAnsi="Times New Roman"/>
          <w:color w:val="auto"/>
          <w:sz w:val="22"/>
          <w:szCs w:val="22"/>
          <w:lang w:val="en-GB"/>
        </w:rPr>
      </w:pPr>
      <w:proofErr w:type="spellStart"/>
      <w:r w:rsidRPr="00E5315A">
        <w:rPr>
          <w:rFonts w:ascii="Times New Roman" w:hAnsi="Times New Roman"/>
          <w:color w:val="auto"/>
          <w:sz w:val="22"/>
          <w:szCs w:val="22"/>
          <w:lang w:val="en-GB"/>
        </w:rPr>
        <w:t>Weltje</w:t>
      </w:r>
      <w:proofErr w:type="spellEnd"/>
      <w:r w:rsidRPr="00E5315A">
        <w:rPr>
          <w:rFonts w:ascii="Times New Roman" w:hAnsi="Times New Roman"/>
          <w:color w:val="auto"/>
          <w:sz w:val="22"/>
          <w:szCs w:val="22"/>
          <w:lang w:val="en-GB"/>
        </w:rPr>
        <w:t xml:space="preserve">, G.J., </w:t>
      </w:r>
      <w:proofErr w:type="spellStart"/>
      <w:r w:rsidRPr="00E5315A">
        <w:rPr>
          <w:rFonts w:ascii="Times New Roman" w:hAnsi="Times New Roman"/>
          <w:color w:val="auto"/>
          <w:sz w:val="22"/>
          <w:szCs w:val="22"/>
          <w:lang w:val="en-GB"/>
        </w:rPr>
        <w:t>Prins</w:t>
      </w:r>
      <w:proofErr w:type="spellEnd"/>
      <w:r w:rsidRPr="00E5315A">
        <w:rPr>
          <w:rFonts w:ascii="Times New Roman" w:hAnsi="Times New Roman"/>
          <w:color w:val="auto"/>
          <w:sz w:val="22"/>
          <w:szCs w:val="22"/>
          <w:lang w:val="en-GB"/>
        </w:rPr>
        <w:t xml:space="preserve">, M.A., 2003. Muddled or mixed? Inferring </w:t>
      </w:r>
      <w:proofErr w:type="spellStart"/>
      <w:r w:rsidRPr="00E5315A">
        <w:rPr>
          <w:rFonts w:ascii="Times New Roman" w:hAnsi="Times New Roman"/>
          <w:color w:val="auto"/>
          <w:sz w:val="22"/>
          <w:szCs w:val="22"/>
          <w:lang w:val="en-GB"/>
        </w:rPr>
        <w:t>palaeoclimate</w:t>
      </w:r>
      <w:proofErr w:type="spellEnd"/>
      <w:r w:rsidRPr="00E5315A">
        <w:rPr>
          <w:rFonts w:ascii="Times New Roman" w:hAnsi="Times New Roman"/>
          <w:color w:val="auto"/>
          <w:sz w:val="22"/>
          <w:szCs w:val="22"/>
          <w:lang w:val="en-GB"/>
        </w:rPr>
        <w:t xml:space="preserve"> from size distributions of deep-sea </w:t>
      </w:r>
      <w:proofErr w:type="spellStart"/>
      <w:r w:rsidRPr="00E5315A">
        <w:rPr>
          <w:rFonts w:ascii="Times New Roman" w:hAnsi="Times New Roman"/>
          <w:color w:val="auto"/>
          <w:sz w:val="22"/>
          <w:szCs w:val="22"/>
          <w:lang w:val="en-GB"/>
        </w:rPr>
        <w:t>clastics</w:t>
      </w:r>
      <w:proofErr w:type="spellEnd"/>
      <w:r w:rsidRPr="00E5315A">
        <w:rPr>
          <w:rFonts w:ascii="Times New Roman" w:hAnsi="Times New Roman"/>
          <w:color w:val="auto"/>
          <w:sz w:val="22"/>
          <w:szCs w:val="22"/>
          <w:lang w:val="en-GB"/>
        </w:rPr>
        <w:t>. Sedimentary Geology 162, 39–62.</w:t>
      </w:r>
    </w:p>
    <w:p w:rsidR="00673ED3" w:rsidRPr="00673ED3" w:rsidRDefault="00673ED3" w:rsidP="009044A8">
      <w:pPr>
        <w:tabs>
          <w:tab w:val="left" w:pos="3686"/>
        </w:tabs>
        <w:spacing w:after="120" w:line="340" w:lineRule="exact"/>
        <w:ind w:left="425" w:right="-289" w:hanging="425"/>
        <w:jc w:val="both"/>
        <w:rPr>
          <w:sz w:val="22"/>
          <w:szCs w:val="22"/>
          <w:lang w:val="en-GB"/>
        </w:rPr>
      </w:pPr>
      <w:r w:rsidRPr="00673ED3">
        <w:rPr>
          <w:sz w:val="22"/>
          <w:szCs w:val="22"/>
          <w:lang w:val="en-GB"/>
        </w:rPr>
        <w:t>Win, S.H., 2011. Sediment Dynamics in Irrawaddy River, Myanmar. Master of Social Science Thesis, National University of Singapore, 265 pp.</w:t>
      </w:r>
    </w:p>
    <w:p w:rsidR="00673ED3" w:rsidRPr="007F190F" w:rsidRDefault="00673ED3" w:rsidP="009044A8">
      <w:pPr>
        <w:tabs>
          <w:tab w:val="left" w:pos="3686"/>
        </w:tabs>
        <w:spacing w:line="340" w:lineRule="exact"/>
        <w:ind w:left="425" w:right="-289" w:hanging="425"/>
        <w:jc w:val="both"/>
        <w:rPr>
          <w:sz w:val="22"/>
          <w:szCs w:val="22"/>
          <w:lang w:val="en-GB"/>
        </w:rPr>
      </w:pPr>
    </w:p>
    <w:sectPr w:rsidR="00673ED3" w:rsidRPr="007F190F" w:rsidSect="009F3A0C">
      <w:pgSz w:w="11906" w:h="16838" w:code="9"/>
      <w:pgMar w:top="1276"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C40740"/>
    <w:multiLevelType w:val="hybridMultilevel"/>
    <w:tmpl w:val="970C0F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trackRevisions/>
  <w:defaultTabStop w:val="708"/>
  <w:hyphenationZone w:val="283"/>
  <w:drawingGridHorizontalSpacing w:val="120"/>
  <w:displayHorizontalDrawingGridEvery w:val="2"/>
  <w:displayVerticalDrawingGridEvery w:val="2"/>
  <w:characterSpacingControl w:val="doNotCompress"/>
  <w:compat/>
  <w:rsids>
    <w:rsidRoot w:val="00357154"/>
    <w:rsid w:val="00024502"/>
    <w:rsid w:val="001124AB"/>
    <w:rsid w:val="001D5FBD"/>
    <w:rsid w:val="002152CD"/>
    <w:rsid w:val="00287375"/>
    <w:rsid w:val="00340A22"/>
    <w:rsid w:val="00357154"/>
    <w:rsid w:val="003A0C37"/>
    <w:rsid w:val="003B1ABD"/>
    <w:rsid w:val="004D6C11"/>
    <w:rsid w:val="00673ED3"/>
    <w:rsid w:val="007260F6"/>
    <w:rsid w:val="00737FFB"/>
    <w:rsid w:val="00753284"/>
    <w:rsid w:val="008075AA"/>
    <w:rsid w:val="009044A8"/>
    <w:rsid w:val="009B3393"/>
    <w:rsid w:val="009D049B"/>
    <w:rsid w:val="009F1E09"/>
    <w:rsid w:val="009F3A0C"/>
    <w:rsid w:val="00AD06A3"/>
    <w:rsid w:val="00C3755C"/>
    <w:rsid w:val="00CA2446"/>
    <w:rsid w:val="00D06FC0"/>
    <w:rsid w:val="00D15B93"/>
    <w:rsid w:val="00D4744C"/>
    <w:rsid w:val="00E305A5"/>
    <w:rsid w:val="00EC529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57154"/>
    <w:rPr>
      <w:rFonts w:ascii="Times New Roman" w:eastAsia="Times New Roman" w:hAnsi="Times New Roman"/>
      <w:sz w:val="24"/>
      <w:szCs w:val="24"/>
    </w:rPr>
  </w:style>
  <w:style w:type="paragraph" w:styleId="Titolo1">
    <w:name w:val="heading 1"/>
    <w:basedOn w:val="Normale"/>
    <w:next w:val="Normale"/>
    <w:link w:val="Titolo1Carattere"/>
    <w:qFormat/>
    <w:rsid w:val="003A0C37"/>
    <w:pPr>
      <w:keepNext/>
      <w:outlineLvl w:val="0"/>
    </w:pPr>
    <w:rPr>
      <w:b/>
      <w:sz w:val="20"/>
    </w:rPr>
  </w:style>
  <w:style w:type="paragraph" w:styleId="Titolo2">
    <w:name w:val="heading 2"/>
    <w:basedOn w:val="Normale"/>
    <w:next w:val="Normale"/>
    <w:link w:val="Titolo2Carattere"/>
    <w:uiPriority w:val="9"/>
    <w:semiHidden/>
    <w:unhideWhenUsed/>
    <w:qFormat/>
    <w:rsid w:val="00340A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357154"/>
    <w:pPr>
      <w:keepNext/>
      <w:ind w:right="47"/>
      <w:jc w:val="center"/>
      <w:outlineLvl w:val="2"/>
    </w:pPr>
    <w:rPr>
      <w:b/>
      <w:i/>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3A0C37"/>
    <w:rPr>
      <w:rFonts w:ascii="Times New Roman" w:eastAsia="Times New Roman" w:hAnsi="Times New Roman"/>
      <w:b/>
      <w:szCs w:val="24"/>
      <w:lang w:val="it-IT" w:eastAsia="it-IT"/>
    </w:rPr>
  </w:style>
  <w:style w:type="character" w:customStyle="1" w:styleId="Titolo3Carattere">
    <w:name w:val="Titolo 3 Carattere"/>
    <w:basedOn w:val="Carpredefinitoparagrafo"/>
    <w:link w:val="Titolo3"/>
    <w:rsid w:val="00357154"/>
    <w:rPr>
      <w:rFonts w:ascii="Times New Roman" w:eastAsia="Times New Roman" w:hAnsi="Times New Roman"/>
      <w:b/>
      <w:i/>
      <w:sz w:val="24"/>
      <w:szCs w:val="24"/>
      <w:lang w:val="en-GB"/>
    </w:rPr>
  </w:style>
  <w:style w:type="character" w:styleId="Collegamentoipertestuale">
    <w:name w:val="Hyperlink"/>
    <w:basedOn w:val="Carpredefinitoparagrafo"/>
    <w:uiPriority w:val="99"/>
    <w:unhideWhenUsed/>
    <w:rsid w:val="00357154"/>
    <w:rPr>
      <w:color w:val="0000FF"/>
      <w:u w:val="single"/>
    </w:rPr>
  </w:style>
  <w:style w:type="paragraph" w:customStyle="1" w:styleId="Rientrocorpodeltesto21">
    <w:name w:val="Rientro corpo del testo 21"/>
    <w:basedOn w:val="Normale"/>
    <w:rsid w:val="00357154"/>
    <w:pPr>
      <w:widowControl w:val="0"/>
      <w:spacing w:line="360" w:lineRule="auto"/>
      <w:ind w:right="-234" w:firstLine="284"/>
    </w:pPr>
    <w:rPr>
      <w:szCs w:val="20"/>
      <w:lang w:val="en-US"/>
    </w:rPr>
  </w:style>
  <w:style w:type="character" w:styleId="Enfasidelicata">
    <w:name w:val="Subtle Emphasis"/>
    <w:uiPriority w:val="19"/>
    <w:qFormat/>
    <w:rsid w:val="00357154"/>
    <w:rPr>
      <w:i/>
      <w:iCs/>
      <w:color w:val="808080"/>
    </w:rPr>
  </w:style>
  <w:style w:type="paragraph" w:customStyle="1" w:styleId="BodyA">
    <w:name w:val="Body A"/>
    <w:rsid w:val="00D06FC0"/>
    <w:pPr>
      <w:pBdr>
        <w:top w:val="nil"/>
        <w:left w:val="nil"/>
        <w:bottom w:val="nil"/>
        <w:right w:val="nil"/>
        <w:between w:val="nil"/>
        <w:bar w:val="nil"/>
      </w:pBdr>
    </w:pPr>
    <w:rPr>
      <w:rFonts w:ascii="Helvetica" w:eastAsia="Arial Unicode MS" w:hAnsi="Arial Unicode MS" w:cs="Arial Unicode MS"/>
      <w:color w:val="000000"/>
      <w:sz w:val="22"/>
      <w:szCs w:val="22"/>
      <w:u w:color="000000"/>
      <w:bdr w:val="nil"/>
      <w:lang w:val="en-US" w:eastAsia="en-US"/>
    </w:rPr>
  </w:style>
  <w:style w:type="paragraph" w:customStyle="1" w:styleId="Default">
    <w:name w:val="Default"/>
    <w:rsid w:val="00673ED3"/>
    <w:pPr>
      <w:autoSpaceDE w:val="0"/>
      <w:autoSpaceDN w:val="0"/>
      <w:adjustRightInd w:val="0"/>
    </w:pPr>
    <w:rPr>
      <w:rFonts w:ascii="Arial" w:hAnsi="Arial" w:cs="Arial"/>
      <w:color w:val="000000"/>
      <w:sz w:val="24"/>
      <w:szCs w:val="24"/>
    </w:rPr>
  </w:style>
  <w:style w:type="paragraph" w:customStyle="1" w:styleId="FreeFormA">
    <w:name w:val="Free Form A"/>
    <w:rsid w:val="00753284"/>
    <w:rPr>
      <w:rFonts w:ascii="Helvetica" w:eastAsia="ヒラギノ角ゴ Pro W3" w:hAnsi="Helvetica"/>
      <w:color w:val="000000"/>
      <w:sz w:val="24"/>
      <w:lang w:val="en-US"/>
    </w:rPr>
  </w:style>
  <w:style w:type="paragraph" w:customStyle="1" w:styleId="Normale1">
    <w:name w:val="Normale1"/>
    <w:rsid w:val="00753284"/>
    <w:pPr>
      <w:widowControl w:val="0"/>
      <w:suppressAutoHyphens/>
    </w:pPr>
    <w:rPr>
      <w:rFonts w:ascii="Times New Roman" w:eastAsia="ヒラギノ角ゴ Pro W3" w:hAnsi="Times New Roman"/>
      <w:color w:val="000000"/>
      <w:sz w:val="24"/>
    </w:rPr>
  </w:style>
  <w:style w:type="paragraph" w:styleId="Testofumetto">
    <w:name w:val="Balloon Text"/>
    <w:basedOn w:val="Normale"/>
    <w:link w:val="TestofumettoCarattere"/>
    <w:uiPriority w:val="99"/>
    <w:semiHidden/>
    <w:unhideWhenUsed/>
    <w:rsid w:val="00AD06A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D06A3"/>
    <w:rPr>
      <w:rFonts w:ascii="Tahoma" w:eastAsia="Times New Roman" w:hAnsi="Tahoma" w:cs="Tahoma"/>
      <w:sz w:val="16"/>
      <w:szCs w:val="16"/>
    </w:rPr>
  </w:style>
  <w:style w:type="character" w:customStyle="1" w:styleId="Titolo2Carattere">
    <w:name w:val="Titolo 2 Carattere"/>
    <w:basedOn w:val="Carpredefinitoparagrafo"/>
    <w:link w:val="Titolo2"/>
    <w:uiPriority w:val="9"/>
    <w:semiHidden/>
    <w:rsid w:val="00340A22"/>
    <w:rPr>
      <w:rFonts w:asciiTheme="majorHAnsi" w:eastAsiaTheme="majorEastAsia" w:hAnsiTheme="majorHAnsi" w:cstheme="majorBidi"/>
      <w:b/>
      <w:bCs/>
      <w:color w:val="4F81BD" w:themeColor="accent1"/>
      <w:sz w:val="26"/>
      <w:szCs w:val="26"/>
    </w:rPr>
  </w:style>
  <w:style w:type="paragraph" w:styleId="Paragrafoelenco">
    <w:name w:val="List Paragraph"/>
    <w:basedOn w:val="Normale"/>
    <w:uiPriority w:val="34"/>
    <w:qFormat/>
    <w:rsid w:val="009F3A0C"/>
    <w:pPr>
      <w:ind w:left="720"/>
      <w:contextualSpacing/>
    </w:pPr>
  </w:style>
</w:styles>
</file>

<file path=word/webSettings.xml><?xml version="1.0" encoding="utf-8"?>
<w:webSettings xmlns:r="http://schemas.openxmlformats.org/officeDocument/2006/relationships" xmlns:w="http://schemas.openxmlformats.org/wordprocessingml/2006/main">
  <w:divs>
    <w:div w:id="201079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hyperlink" Target="http://acmelab.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1903</Words>
  <Characters>10848</Characters>
  <Application>Microsoft Office Word</Application>
  <DocSecurity>0</DocSecurity>
  <Lines>90</Lines>
  <Paragraphs>25</Paragraphs>
  <ScaleCrop>false</ScaleCrop>
  <Company/>
  <LinksUpToDate>false</LinksUpToDate>
  <CharactersWithSpaces>12726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dc:creator>
  <cp:lastModifiedBy>E</cp:lastModifiedBy>
  <cp:revision>4</cp:revision>
  <dcterms:created xsi:type="dcterms:W3CDTF">2016-05-24T16:54:00Z</dcterms:created>
  <dcterms:modified xsi:type="dcterms:W3CDTF">2016-06-07T08:29:00Z</dcterms:modified>
</cp:coreProperties>
</file>