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Metamorphosis, epiphany, emergency or exception? The governmentality of the pandemic in Italy and the prison case  </w:t>
      </w:r>
    </w:p>
    <w:p w:rsidR="00000000" w:rsidDel="00000000" w:rsidP="00000000" w:rsidRDefault="00000000" w:rsidRPr="00000000" w14:paraId="00000002">
      <w:pPr>
        <w:pageBreakBefore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Valeria Verdolini, University of Milano-Bicocca (</w:t>
      </w:r>
      <w:hyperlink r:id="rId7">
        <w:r w:rsidDel="00000000" w:rsidR="00000000" w:rsidRPr="00000000">
          <w:rPr>
            <w:rFonts w:ascii="Times New Roman" w:cs="Times New Roman" w:eastAsia="Times New Roman" w:hAnsi="Times New Roman"/>
            <w:b w:val="1"/>
            <w:color w:val="1155cc"/>
            <w:sz w:val="24"/>
            <w:szCs w:val="24"/>
            <w:u w:val="single"/>
            <w:rtl w:val="0"/>
          </w:rPr>
          <w:t xml:space="preserve">valeria.verdolini@unimib.it</w:t>
        </w:r>
      </w:hyperlink>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04">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Michela Trinchese, University of Salento (</w:t>
      </w:r>
      <w:hyperlink r:id="rId8">
        <w:r w:rsidDel="00000000" w:rsidR="00000000" w:rsidRPr="00000000">
          <w:rPr>
            <w:rFonts w:ascii="Times New Roman" w:cs="Times New Roman" w:eastAsia="Times New Roman" w:hAnsi="Times New Roman"/>
            <w:b w:val="1"/>
            <w:color w:val="1155cc"/>
            <w:sz w:val="24"/>
            <w:szCs w:val="24"/>
            <w:u w:val="single"/>
            <w:rtl w:val="0"/>
          </w:rPr>
          <w:t xml:space="preserve">michela.trinchese@unisalento.it</w:t>
        </w:r>
      </w:hyperlink>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05">
      <w:pPr>
        <w:pageBreakBefore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6">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Paper prepared for the ECPR Conference</w:t>
      </w:r>
    </w:p>
    <w:p w:rsidR="00000000" w:rsidDel="00000000" w:rsidP="00000000" w:rsidRDefault="00000000" w:rsidRPr="00000000" w14:paraId="0000000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recent Covid-19 pandemic months represent a totalizing social fact which has reconfigured the order of priorities, working as an exogenous shock on a global scale. How can we describe this shock and its political consequences? On this behalf, Ulrich Beck (2015) introduced a fundamental distinction between change and metamorphosis. The first case refers to a situation in which something can change in the future while all other aspects remain equal. In the metamorphosis instead, all the certainties of modern society get eradicated. On the other side, Giorgio Agamben (2020) recalled the “state of exception” and described the political measures adopted as the “unmotivated emergency”. Pandemics can be considered as risks generating metamorphosis, an unmotivated emergency or a state of exception? In the attempt to propose answers to these questions, this paper traces the extraordinary and ordinary legal tools produced for the pandemic governance since January 2020 in Italy. Italy, indeed, has been the first country in Europe to adopt restrictive measures and to reduce civil liberties. The last part of the paper will focus on a specific case study: the reaction to restrictive measures in Italian prisons. </w:t>
      </w:r>
      <w:r w:rsidDel="00000000" w:rsidR="00000000" w:rsidRPr="00000000">
        <w:rPr>
          <w:rtl w:val="0"/>
        </w:rPr>
      </w:r>
    </w:p>
    <w:p w:rsidR="00000000" w:rsidDel="00000000" w:rsidP="00000000" w:rsidRDefault="00000000" w:rsidRPr="00000000" w14:paraId="00000008">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 WHAT SOCIAL FACT IS A PANDEMIC? </w:t>
      </w:r>
    </w:p>
    <w:p w:rsidR="00000000" w:rsidDel="00000000" w:rsidP="00000000" w:rsidRDefault="00000000" w:rsidRPr="00000000" w14:paraId="0000000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recent Covid-19 pandemic months represent a totalizing social fact which has reconfigured the order of priorities, working as an exogenous shock on a global scale. The Covid-19 crisis represented an unprecedented ground for the deployment of the State. In just a few days, the government has demarcated territories in which some fundamental rights have been suspended and extraordinary powers have been established; it has launched extraordinary spending plans to strengthen the supply of health services; it has promoted personnel recruitment programs while deploying the army in some territories; it has launched credit and social assistance programs that have reached tens of millions of people affected by the economic crisis.</w:t>
      </w:r>
    </w:p>
    <w:p w:rsidR="00000000" w:rsidDel="00000000" w:rsidP="00000000" w:rsidRDefault="00000000" w:rsidRPr="00000000" w14:paraId="0000000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can we describe this shock and its political consequences? For the past forty years (Beck 1986; 2015) it has been argued that risk is no longer a particular event, but the global horizon within which organizations and individuals move. We live in a society of risk and therefore we are all exposed to risk. A useful criterion introduced to analyze some dimensions of risk is to distinguish between risk and danger (Luhmann, 1991). The distinction between the two terms is based on the assumption that both risk and danger presuppose uncertainty with respect to future damage. If the damage is considered as a consequence of a decision, we speak of risk; if, instead, we think that the damage is due to external factors, we are in the presence of a danger. The distinction becomes more complicated if we introduce into the analysis the opposition between those who decide and those who suffer the effects of the decision, in other words between the "decision-makers" and the "victims". In this perspective, the same potential harmful event can be considered a risk or a danger depending on who suffers the effects of the decision (Luhmann, 1991). Within the debate on risk, this further distinction between decision-makers and victims appears important for two reasons: first, because in today's society there is a tendency to identify the causes of risky events in the decisions taken by people or organizations, with the consequence that events that were previously considered as dangers become risks; the second reason lies in the fact that, if one tends to attribute everything that happens to someone's decision, the result is that the future is perceived as a risk, a risk that is increasingly difficult to predict in view of the complexity of decision-making situations, as well as the exponential increase in possibilities. The choice of which risks to consider acceptable would depend, therefore, on the social and cultural context that would condition the selection of risks to be taken or avoided. Moreover, risk perception feeds collective anxieties in different ways among different social groups. In particular, the intensity of the feeling of fear would vary in the most socially vulnerable population, i.e. among those who live a condition of deprivation resulting from being deprived of resources (material, symbolic and relational) to cope with existential difficulties of various kinds. Not only that, but the importance of the level of social integration - the strength of social ties and shared trust - in a word, the level of the "social capital" of a community, was highlighted. Where trust is lacking, fear reigns supreme.</w:t>
      </w:r>
    </w:p>
    <w:p w:rsidR="00000000" w:rsidDel="00000000" w:rsidP="00000000" w:rsidRDefault="00000000" w:rsidRPr="00000000" w14:paraId="0000000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does this well-established conceptual framework change when the population is exposed to a situation of objective risk such as pandemics?</w:t>
      </w:r>
    </w:p>
    <w:p w:rsidR="00000000" w:rsidDel="00000000" w:rsidP="00000000" w:rsidRDefault="00000000" w:rsidRPr="00000000" w14:paraId="0000000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Beck, in his most recent work, underlines the importance of developing the capacity to anticipate a risk as this would make it possible to avoid emergencies turning into social panic and fears into catastrophes. Therefore, the concept of risk is always a matter of anticipation. In other words, anticipating a risk means putting a potential danger in perspective and, therefore, offering everyone the possibility of producing significant changes. In this regard Beck introduces a fundamental distinction between change and metamorphosis: in the first case we refer to something that can change in the future, while all other aspects remain unchanged, in metamorphosis all the certainties of modern society are instead eradicated. Pandemics can be considered risks that generate a metamorphosis. </w:t>
      </w:r>
    </w:p>
    <w:p w:rsidR="00000000" w:rsidDel="00000000" w:rsidP="00000000" w:rsidRDefault="00000000" w:rsidRPr="00000000" w14:paraId="0000000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Historically, catastrophes have always forced human beings to break with the past and imagine their world anew. Therefore, an analysis is required to understand the pandemic we are experiencing, which involves a metamorphosis of the image of the world and a metamorphosis of practice and action, i.e. a profound rebalancing of values such as, for example, social balance, sustainable development, solidarity, responsibility, scientific and technological cooperation, innovation, in order to produce a global and interconnected public space. </w:t>
      </w:r>
    </w:p>
    <w:p w:rsidR="00000000" w:rsidDel="00000000" w:rsidP="00000000" w:rsidRDefault="00000000" w:rsidRPr="00000000" w14:paraId="0000000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metamorphosis concerns everyone and radically alters the relationships between organizations and individuals. It is up to the latter to take note of it and to redesign institutions in an appropriate form so that the metamorphosis of the world does not become a factor of radical destabilization. In addition, metamorphosis also powerfully concerns the spatial dimension, which, not by chance, has also proved decisive in the context of this crisis and its management: the epidemic immediately took shape and was often perceived as a territorial object both in widespread social perceptions - certain territories were represented as the source of danger and the reduction of mobility from these territories was considered as a guarantee of personal and collective protection - and in the responses to the epidemic. </w:t>
      </w:r>
    </w:p>
    <w:p w:rsidR="00000000" w:rsidDel="00000000" w:rsidP="00000000" w:rsidRDefault="00000000" w:rsidRPr="00000000" w14:paraId="000000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this behalf, Ulrich Beck (2015) introduced a fundamental distinction between change and metamorphosis. The first case refers to a situation in which something can change in the future while all other aspects remain equal. In the metamorphosis instead, all the certainties of modern society get eradicated. On the other side, Giorgio Agamben (2020) recalled the “state of exception” and described the political measures adopted as the “unmotivated emergency”. The philosopher opens a debate (still ongoing) with critiques, and a strong polarization of public debate. Pandemics can be considered as risks generating metamorphosis, an unmotivated emergency or a state of exception? What are the possible reactions to these restrictions? Those reconfigurations took place, in Italy, in a context already characterized by a constant risk exposition (Beck 1986; 2015) and an increasing social control especially towards vulnerable populations (Melossi, 2015). Italy, indeed, has been the first country in Europe to adopt restrictive measures and to reduce civil liberties. </w:t>
      </w:r>
    </w:p>
    <w:p w:rsidR="00000000" w:rsidDel="00000000" w:rsidP="00000000" w:rsidRDefault="00000000" w:rsidRPr="00000000" w14:paraId="00000011">
      <w:pPr>
        <w:pageBreakBefore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2">
      <w:pPr>
        <w:pageBreakBefore w:val="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3">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PANDEMIC IN ITALY, AN OVERVIEW </w:t>
      </w:r>
    </w:p>
    <w:p w:rsidR="00000000" w:rsidDel="00000000" w:rsidP="00000000" w:rsidRDefault="00000000" w:rsidRPr="00000000" w14:paraId="0000001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Italy, with its nearly 60 million inhabitants, was the first European country to adopt measures restricting personal freedom as a response to the evolution of the Covid-19 pandemic. Although a state of emergency has been declared since January 2020, with the discovery of  two patients moving from China, the contagion of the so-called “patient zero” in Codogno, on February 21st, 2020, change the scenario. The country quickly adopted a series of regulatory, political, and social strategies to counter the spread of the virus. </w:t>
      </w:r>
      <w:r w:rsidDel="00000000" w:rsidR="00000000" w:rsidRPr="00000000">
        <w:rPr>
          <w:rFonts w:ascii="Times New Roman" w:cs="Times New Roman" w:eastAsia="Times New Roman" w:hAnsi="Times New Roman"/>
          <w:sz w:val="24"/>
          <w:szCs w:val="24"/>
          <w:rtl w:val="0"/>
        </w:rPr>
        <w:t xml:space="preserve">Clusters of cases were later detected in the northern region of </w:t>
      </w:r>
      <w:r w:rsidDel="00000000" w:rsidR="00000000" w:rsidRPr="00000000">
        <w:rPr>
          <w:rFonts w:ascii="Times New Roman" w:cs="Times New Roman" w:eastAsia="Times New Roman" w:hAnsi="Times New Roman"/>
          <w:sz w:val="24"/>
          <w:szCs w:val="24"/>
          <w:rtl w:val="0"/>
        </w:rPr>
        <w:t xml:space="preserve">Lombardy</w:t>
      </w:r>
      <w:r w:rsidDel="00000000" w:rsidR="00000000" w:rsidRPr="00000000">
        <w:rPr>
          <w:rFonts w:ascii="Times New Roman" w:cs="Times New Roman" w:eastAsia="Times New Roman" w:hAnsi="Times New Roman"/>
          <w:sz w:val="24"/>
          <w:szCs w:val="24"/>
          <w:rtl w:val="0"/>
        </w:rPr>
        <w:t xml:space="preserve"> and </w:t>
      </w:r>
      <w:hyperlink r:id="rId9">
        <w:r w:rsidDel="00000000" w:rsidR="00000000" w:rsidRPr="00000000">
          <w:rPr>
            <w:rFonts w:ascii="Times New Roman" w:cs="Times New Roman" w:eastAsia="Times New Roman" w:hAnsi="Times New Roman"/>
            <w:sz w:val="24"/>
            <w:szCs w:val="24"/>
            <w:rtl w:val="0"/>
          </w:rPr>
          <w:t xml:space="preserve">Venet</w:t>
        </w:r>
      </w:hyperlink>
      <w:r w:rsidDel="00000000" w:rsidR="00000000" w:rsidRPr="00000000">
        <w:rPr>
          <w:rFonts w:ascii="Times New Roman" w:cs="Times New Roman" w:eastAsia="Times New Roman" w:hAnsi="Times New Roman"/>
          <w:sz w:val="24"/>
          <w:szCs w:val="24"/>
          <w:rtl w:val="0"/>
        </w:rPr>
        <w:t xml:space="preserve">o</w:t>
      </w:r>
      <w:r w:rsidDel="00000000" w:rsidR="00000000" w:rsidRPr="00000000">
        <w:rPr>
          <w:rFonts w:ascii="Times New Roman" w:cs="Times New Roman" w:eastAsia="Times New Roman" w:hAnsi="Times New Roman"/>
          <w:sz w:val="24"/>
          <w:szCs w:val="24"/>
          <w:rtl w:val="0"/>
        </w:rPr>
        <w:t xml:space="preserve"> on February, 21st, 2020 with the first deaths on February, 22d, 2020. By the beginning of March, the virus had spread to all regions of Italy and the government adopted the first regulatory measures, within the framework of the “State of Emergency”.</w:t>
      </w:r>
      <w:r w:rsidDel="00000000" w:rsidR="00000000" w:rsidRPr="00000000">
        <w:rPr>
          <w:rtl w:val="0"/>
        </w:rPr>
        <w:t xml:space="preserve"> I</w:t>
      </w:r>
      <w:r w:rsidDel="00000000" w:rsidR="00000000" w:rsidRPr="00000000">
        <w:rPr>
          <w:rFonts w:ascii="Times New Roman" w:cs="Times New Roman" w:eastAsia="Times New Roman" w:hAnsi="Times New Roman"/>
          <w:sz w:val="24"/>
          <w:szCs w:val="24"/>
          <w:rtl w:val="0"/>
        </w:rPr>
        <w:t xml:space="preserve">n February, eleven municipalities in </w:t>
      </w:r>
      <w:r w:rsidDel="00000000" w:rsidR="00000000" w:rsidRPr="00000000">
        <w:rPr>
          <w:rFonts w:ascii="Times New Roman" w:cs="Times New Roman" w:eastAsia="Times New Roman" w:hAnsi="Times New Roman"/>
          <w:sz w:val="24"/>
          <w:szCs w:val="24"/>
          <w:rtl w:val="0"/>
        </w:rPr>
        <w:t xml:space="preserve">northern Italy</w:t>
      </w:r>
      <w:r w:rsidDel="00000000" w:rsidR="00000000" w:rsidRPr="00000000">
        <w:rPr>
          <w:rFonts w:ascii="Times New Roman" w:cs="Times New Roman" w:eastAsia="Times New Roman" w:hAnsi="Times New Roman"/>
          <w:sz w:val="24"/>
          <w:szCs w:val="24"/>
          <w:rtl w:val="0"/>
        </w:rPr>
        <w:t xml:space="preserve"> were identified as the centres of the two main Italian clusters and placed under quarantine. The majority of positive cases in other regions traced back to these two clusters. On 8 March 2020, Prime Minister </w:t>
      </w:r>
      <w:r w:rsidDel="00000000" w:rsidR="00000000" w:rsidRPr="00000000">
        <w:rPr>
          <w:rFonts w:ascii="Times New Roman" w:cs="Times New Roman" w:eastAsia="Times New Roman" w:hAnsi="Times New Roman"/>
          <w:sz w:val="24"/>
          <w:szCs w:val="24"/>
          <w:rtl w:val="0"/>
        </w:rPr>
        <w:t xml:space="preserve">Giuseppe Conte</w:t>
      </w:r>
      <w:r w:rsidDel="00000000" w:rsidR="00000000" w:rsidRPr="00000000">
        <w:rPr>
          <w:rFonts w:ascii="Times New Roman" w:cs="Times New Roman" w:eastAsia="Times New Roman" w:hAnsi="Times New Roman"/>
          <w:sz w:val="24"/>
          <w:szCs w:val="24"/>
          <w:rtl w:val="0"/>
        </w:rPr>
        <w:t xml:space="preserve"> expanded the quarantine to all of Lombardy and 14 other northern provinces, and on the following day to all of Italy, </w:t>
      </w:r>
      <w:r w:rsidDel="00000000" w:rsidR="00000000" w:rsidRPr="00000000">
        <w:rPr>
          <w:rFonts w:ascii="Times New Roman" w:cs="Times New Roman" w:eastAsia="Times New Roman" w:hAnsi="Times New Roman"/>
          <w:sz w:val="24"/>
          <w:szCs w:val="24"/>
          <w:rtl w:val="0"/>
        </w:rPr>
        <w:t xml:space="preserve">placing more than 60 million people in lockdown</w:t>
      </w:r>
      <w:r w:rsidDel="00000000" w:rsidR="00000000" w:rsidRPr="00000000">
        <w:rPr>
          <w:rFonts w:ascii="Times New Roman" w:cs="Times New Roman" w:eastAsia="Times New Roman" w:hAnsi="Times New Roman"/>
          <w:sz w:val="24"/>
          <w:szCs w:val="24"/>
          <w:rtl w:val="0"/>
        </w:rPr>
        <w:t xml:space="preserve">. On 11 March 2020, Conte prohibited nearly all commercial activity except for supermarkets and pharmacies. On 21 March, the Italian government closed all non-essential businesses and industries, and restricted movement of people. In May, many restrictions were gradually eased,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and on 3 June, freedom of movement across regions and other European countries was restored.In October, Italy was hit by the second wave of the pandemic, which brought the government to introduce further restrictions on movement and social life, which were gradually eased in mid-2021, after the third wave in early spring. </w:t>
      </w:r>
      <w:r w:rsidDel="00000000" w:rsidR="00000000" w:rsidRPr="00000000">
        <w:rPr>
          <w:rFonts w:ascii="Times New Roman" w:cs="Times New Roman" w:eastAsia="Times New Roman" w:hAnsi="Times New Roman"/>
          <w:sz w:val="24"/>
          <w:szCs w:val="24"/>
          <w:rtl w:val="0"/>
        </w:rPr>
        <w:t xml:space="preserve">During the first peak of the pandemic, Italy's number of active cases was one of the highest in the world</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Overall, there have been </w:t>
      </w:r>
      <w:r w:rsidDel="00000000" w:rsidR="00000000" w:rsidRPr="00000000">
        <w:rPr>
          <w:rFonts w:ascii="Times New Roman" w:cs="Times New Roman" w:eastAsia="Times New Roman" w:hAnsi="Times New Roman"/>
          <w:sz w:val="24"/>
          <w:szCs w:val="24"/>
          <w:rtl w:val="0"/>
        </w:rPr>
        <w:t xml:space="preserve"> 4.517.434</w:t>
      </w:r>
      <w:r w:rsidDel="00000000" w:rsidR="00000000" w:rsidRPr="00000000">
        <w:rPr>
          <w:rFonts w:ascii="Times New Roman" w:cs="Times New Roman" w:eastAsia="Times New Roman" w:hAnsi="Times New Roman"/>
          <w:sz w:val="24"/>
          <w:szCs w:val="24"/>
          <w:rtl w:val="0"/>
        </w:rPr>
        <w:t xml:space="preserve"> confirmed cases and </w:t>
      </w:r>
      <w:r w:rsidDel="00000000" w:rsidR="00000000" w:rsidRPr="00000000">
        <w:rPr>
          <w:sz w:val="24"/>
          <w:szCs w:val="24"/>
          <w:shd w:fill="f7f6f2" w:val="clear"/>
          <w:rtl w:val="0"/>
        </w:rPr>
        <w:t xml:space="preserve"> </w:t>
      </w:r>
      <w:r w:rsidDel="00000000" w:rsidR="00000000" w:rsidRPr="00000000">
        <w:rPr>
          <w:rFonts w:ascii="Times New Roman" w:cs="Times New Roman" w:eastAsia="Times New Roman" w:hAnsi="Times New Roman"/>
          <w:sz w:val="24"/>
          <w:szCs w:val="24"/>
          <w:rtl w:val="0"/>
        </w:rPr>
        <w:t xml:space="preserve">129.002 </w:t>
      </w:r>
      <w:r w:rsidDel="00000000" w:rsidR="00000000" w:rsidRPr="00000000">
        <w:rPr>
          <w:rFonts w:ascii="Times New Roman" w:cs="Times New Roman" w:eastAsia="Times New Roman" w:hAnsi="Times New Roman"/>
          <w:sz w:val="24"/>
          <w:szCs w:val="24"/>
          <w:rtl w:val="0"/>
        </w:rPr>
        <w:t xml:space="preserve">deaths (a rate of 2,128 deaths per million population and a lethality of the </w:t>
      </w:r>
      <w:r w:rsidDel="00000000" w:rsidR="00000000" w:rsidRPr="00000000">
        <w:rPr>
          <w:rFonts w:ascii="Times New Roman" w:cs="Times New Roman" w:eastAsia="Times New Roman" w:hAnsi="Times New Roman"/>
          <w:sz w:val="24"/>
          <w:szCs w:val="24"/>
          <w:rtl w:val="0"/>
        </w:rPr>
        <w:t xml:space="preserve">2,86</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while there have been </w:t>
      </w:r>
      <w:r w:rsidDel="00000000" w:rsidR="00000000" w:rsidRPr="00000000">
        <w:rPr>
          <w:rFonts w:ascii="Times New Roman" w:cs="Times New Roman" w:eastAsia="Times New Roman" w:hAnsi="Times New Roman"/>
          <w:sz w:val="24"/>
          <w:szCs w:val="24"/>
          <w:rtl w:val="0"/>
        </w:rPr>
        <w:t xml:space="preserve">4.250.314</w:t>
      </w:r>
      <w:r w:rsidDel="00000000" w:rsidR="00000000" w:rsidRPr="00000000">
        <w:rPr>
          <w:rFonts w:ascii="Times New Roman" w:cs="Times New Roman" w:eastAsia="Times New Roman" w:hAnsi="Times New Roman"/>
          <w:sz w:val="24"/>
          <w:szCs w:val="24"/>
          <w:rtl w:val="0"/>
        </w:rPr>
        <w:t xml:space="preserve"> recoveries or dismissals.</w:t>
      </w:r>
    </w:p>
    <w:p w:rsidR="00000000" w:rsidDel="00000000" w:rsidP="00000000" w:rsidRDefault="00000000" w:rsidRPr="00000000" w14:paraId="00000015">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362200"/>
            <wp:effectExtent b="0" l="0" r="0" t="0"/>
            <wp:docPr id="2"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943600"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016">
      <w:pPr>
        <w:pageBreakBefore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Fig. 1: cases (Source: Protezione civile) </w:t>
      </w:r>
    </w:p>
    <w:p w:rsidR="00000000" w:rsidDel="00000000" w:rsidP="00000000" w:rsidRDefault="00000000" w:rsidRPr="00000000" w14:paraId="00000017">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LEGAL FRAMEWORK</w:t>
      </w:r>
    </w:p>
    <w:p w:rsidR="00000000" w:rsidDel="00000000" w:rsidP="00000000" w:rsidRDefault="00000000" w:rsidRPr="00000000" w14:paraId="00000019">
      <w:pPr>
        <w:shd w:fill="ffffff" w:val="clear"/>
        <w:spacing w:after="240" w:before="24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31 January 2020, the Italian Government formally declared the state of emergency pursuant to Legislative Decree 1/2018 (Civil Protection Code) recognizing that Covid-19 disease had to be considered as an</w:t>
      </w:r>
    </w:p>
    <w:p w:rsidR="00000000" w:rsidDel="00000000" w:rsidP="00000000" w:rsidRDefault="00000000" w:rsidRPr="00000000" w14:paraId="0000001A">
      <w:pPr>
        <w:shd w:fill="ffffff" w:val="clear"/>
        <w:spacing w:after="220" w:before="220" w:line="240" w:lineRule="auto"/>
        <w:ind w:left="60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“emergency of national importance connected with natural origin or man-made disasters which, by reason of their intensity or extension, must, with immediate intervention, be faced with extraordinary means and powers to be employed during limited and predefined periods of time pursuant to Art. 24.”</w:t>
      </w:r>
    </w:p>
    <w:p w:rsidR="00000000" w:rsidDel="00000000" w:rsidP="00000000" w:rsidRDefault="00000000" w:rsidRPr="00000000" w14:paraId="0000001B">
      <w:pPr>
        <w:shd w:fill="ffffff" w:val="clear"/>
        <w:spacing w:after="0" w:before="240"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Article 24 of Italian Civil Protection Code (‘Resolution on the state of emergency of national importance’) rules that the Council of Ministers, </w:t>
      </w:r>
      <w:r w:rsidDel="00000000" w:rsidR="00000000" w:rsidRPr="00000000">
        <w:rPr>
          <w:rFonts w:ascii="Times New Roman" w:cs="Times New Roman" w:eastAsia="Times New Roman" w:hAnsi="Times New Roman"/>
          <w:i w:val="1"/>
          <w:sz w:val="24"/>
          <w:szCs w:val="24"/>
          <w:rtl w:val="0"/>
        </w:rPr>
        <w:t xml:space="preserve">id est</w:t>
      </w:r>
      <w:r w:rsidDel="00000000" w:rsidR="00000000" w:rsidRPr="00000000">
        <w:rPr>
          <w:rFonts w:ascii="Times New Roman" w:cs="Times New Roman" w:eastAsia="Times New Roman" w:hAnsi="Times New Roman"/>
          <w:sz w:val="24"/>
          <w:szCs w:val="24"/>
          <w:rtl w:val="0"/>
        </w:rPr>
        <w:t xml:space="preserve"> the Government, can declare a state of national emergency, which has to be limited in duration (twelve months, extended for other twelve months maximum) and determine its territorial scope, with reference to the nature and character of events (such as the pandemic, as in this case). The declaration of emergency authorises the issue of civil protection orders, which can be adopted ‘in derogation to any current provision, within the limits and with the methods indicated in the resolution on the state of emergency and in compliance with the general principles of the legal system and the European Union rules’. Italian Civil Protection Code legislation does not explicitly empower the Government to limit rights and freedoms.</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Italy, in particular, the Constitution does not, fortunately, provide for the state of emergency provided for by the Spanish Constitution (art. 116) or the French Constitution (art. 16). </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4"/>
          <w:szCs w:val="24"/>
        </w:rPr>
      </w:pPr>
      <w:r w:rsidDel="00000000" w:rsidR="00000000" w:rsidRPr="00000000">
        <w:rPr>
          <w:color w:val="333333"/>
          <w:sz w:val="24"/>
          <w:szCs w:val="24"/>
          <w:highlight w:val="white"/>
          <w:rtl w:val="0"/>
        </w:rPr>
        <w:t xml:space="preserve">I</w:t>
      </w:r>
      <w:r w:rsidDel="00000000" w:rsidR="00000000" w:rsidRPr="00000000">
        <w:rPr>
          <w:rFonts w:ascii="Times New Roman" w:cs="Times New Roman" w:eastAsia="Times New Roman" w:hAnsi="Times New Roman"/>
          <w:sz w:val="24"/>
          <w:szCs w:val="24"/>
          <w:rtl w:val="0"/>
        </w:rPr>
        <w:t xml:space="preserve">n the Italian Constitution, there is no explicit provision on the suspension of constitutional rights and guarantees, declaration of the state of war excepted (art 78, Italian Constitution). Despite the lack of a constitutional rule explicitly allowing the limitation of rights, the Italian lawmaker several times limited fundamental rights in order to face security threats and those laws were also submitted to the review of the Constitutional Court, using Decree Laws thought to face any situation of extraordinary need and urgency and regulated by the Constitution (art 77). T</w:t>
      </w:r>
      <w:r w:rsidDel="00000000" w:rsidR="00000000" w:rsidRPr="00000000">
        <w:rPr>
          <w:rFonts w:ascii="Times New Roman" w:cs="Times New Roman" w:eastAsia="Times New Roman" w:hAnsi="Times New Roman"/>
          <w:sz w:val="24"/>
          <w:szCs w:val="24"/>
          <w:rtl w:val="0"/>
        </w:rPr>
        <w:t xml:space="preserve">But this has enabled anyway, as proof of the needlessness of this dangerous institution, the limitations of freedom of movement, freedom of assembly and personal freedom, to guarantee the safety and public health, provided for by the constitutional laws that declare these freedoms (Ferrajoli, 2020). </w:t>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Initially, only ten municipalities in Lombardy and one in Veneto were declared red areas (22 February 2020); rapidly, measures were extended to the whole Lombardy and fourteen provinces of other Regions (7 March 2020), and finally on 9 March 2020, restrictive measures applying to ‘red areas’ have been extended to the entire Italian territory until 3 April 2020 by the head of the Italian Government, the President of the Council of Ministers, through an administrative order called ‘Decree of the President of the Council of Ministers’ (DPCM). </w:t>
      </w:r>
      <w:r w:rsidDel="00000000" w:rsidR="00000000" w:rsidRPr="00000000">
        <w:rPr>
          <w:rFonts w:ascii="Times New Roman" w:cs="Times New Roman" w:eastAsia="Times New Roman" w:hAnsi="Times New Roman"/>
          <w:sz w:val="24"/>
          <w:szCs w:val="24"/>
          <w:rtl w:val="0"/>
        </w:rPr>
        <w:t xml:space="preserve">Since the Italian Constitutional rules that restrictions to (some of the) fundamental freedoms cannot be enacted nor regulated by means other than laws and acts having the force of law, on 23 February 2020, Decree Law n. 6</w:t>
      </w:r>
      <w:r w:rsidDel="00000000" w:rsidR="00000000" w:rsidRPr="00000000">
        <w:rPr>
          <w:rFonts w:ascii="Times New Roman" w:cs="Times New Roman" w:eastAsia="Times New Roman" w:hAnsi="Times New Roman"/>
          <w:sz w:val="24"/>
          <w:szCs w:val="24"/>
          <w:rtl w:val="0"/>
        </w:rPr>
        <w:t xml:space="preserve">5</w:t>
      </w:r>
      <w:r w:rsidDel="00000000" w:rsidR="00000000" w:rsidRPr="00000000">
        <w:rPr>
          <w:rFonts w:ascii="Times New Roman" w:cs="Times New Roman" w:eastAsia="Times New Roman" w:hAnsi="Times New Roman"/>
          <w:sz w:val="24"/>
          <w:szCs w:val="24"/>
          <w:rtl w:val="0"/>
        </w:rPr>
        <w:t xml:space="preserve"> was issued, containing emergency provisions in order to limit infection due to the Covid-19 Virus, granting the ‘competent authorities’ with the power to order ‘any appropriate restrictive measure’ on those living in affected areas (‘red areas’).</w:t>
      </w:r>
    </w:p>
    <w:p w:rsidR="00000000" w:rsidDel="00000000" w:rsidP="00000000" w:rsidRDefault="00000000" w:rsidRPr="00000000" w14:paraId="0000001F">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first phase, the right to health and health security represented the priority objectives now at the center of a much more complex negotiation more complex than pandemic daily life.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Different restrictions were applied on a day-by-day basis produced from many different sources, including decrees or orders of different Ministers (Minister of Economics and Finance, Minister of Health, Minister of Interior), Head of Government, Presidents of Regions or Autonomous provinces, City Mayors and Civil Protection Department. Italy was defined as the largest lockdown in the history of Europe.</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 restrictive measures come into effect with the "Decree #IoRestoaCasa"(#stayathome), published on March 11, 2020 which provides for the suspension of common retail businesses, food services, religious celebrations, and prohibits gatherings of people in public places or places open to the public. On March 22, 2020 a new DPCM prohibits all individuals from moving to any municipality other than the one in which they are located, and a list of other activities not deemed necessary that must be suspended is published. All of these measures are repeatedly extended, until May 3, 2020. [A new DPCM of April 26, 2020, applicable from May 4, 2020, following the descent of the curve of contagions, relaxes the containment measures, allowing travel for visits to relatives (within the regional territory), the opening of public parks and the resumption of several productive activities. On May 18, 2020 retail businesses, museums, activities such as bars, restaurants, hairdressers, and beauty centers reopen throughout Italy, and religious celebrations are allowed.On May 25, 2020 sports centers reopen, and from June 3, free movement between regions is allowed. On June 11, 2020, another DPCM, applicable from June 15, further loosens the containment measures, with the reopening of gaming and betting halls, theaters and cinemas, cultural and social centers. Meanwhile, with local measures, several regions also begin to reopen discos and dance halls from June 12, 2020. Due to the increase in contagions, the discos are then closed with an order of the Ministry of Health from August 17. </w:t>
      </w:r>
      <w:r w:rsidDel="00000000" w:rsidR="00000000" w:rsidRPr="00000000">
        <w:rPr>
          <w:rFonts w:ascii="Times New Roman" w:cs="Times New Roman" w:eastAsia="Times New Roman" w:hAnsi="Times New Roman"/>
          <w:sz w:val="24"/>
          <w:szCs w:val="24"/>
          <w:rtl w:val="0"/>
        </w:rPr>
        <w:t xml:space="preserve">Progressively, measures to support the activities and social groups affected by the effects of the pandemic have assumed increasing importance. Equally, the essential spatiality of the crisis has also undergone rapid evolution with the implementation of emergency structures in the territory, the articulation of regimes of social distancing at an increasingly granular scale, and the implementation of tracking systems.</w:t>
      </w:r>
      <w:r w:rsidDel="00000000" w:rsidR="00000000" w:rsidRPr="00000000">
        <w:rPr>
          <w:rFonts w:ascii="Times New Roman" w:cs="Times New Roman" w:eastAsia="Times New Roman" w:hAnsi="Times New Roman"/>
          <w:sz w:val="24"/>
          <w:szCs w:val="24"/>
          <w:rtl w:val="0"/>
        </w:rPr>
        <w:t xml:space="preserve"> On June 15 is also launched throughout the country, the app Immuni, able to report if you have been in contact with a person positive for SARS-CoV-2.</w:t>
      </w:r>
      <w:r w:rsidDel="00000000" w:rsidR="00000000" w:rsidRPr="00000000">
        <w:rPr>
          <w:rtl w:val="0"/>
        </w:rPr>
      </w:r>
    </w:p>
    <w:p w:rsidR="00000000" w:rsidDel="00000000" w:rsidP="00000000" w:rsidRDefault="00000000" w:rsidRPr="00000000" w14:paraId="00000022">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should be noted, however, that the Constitution would require that the limitations of these freedoms be adopted through the albeit numerous decree-laws issued by the government in the months of the emergency, and not also through their implementing provisions produced in the form of the decrees of the Prime minister (DPCM). Unlike these administrative measures, indeed, the decree-law is an act of legislative rank, which is required by constitutional laws for the limitation of freedom of movement and personal freedom. It is precisely the necessity and urgency generated by the pandemic that would justify, as never before, the use of the decree-law, which is subject to the control of Parliament and, earlier, to the examination by the President of the Republic who performs constitutionality check. The Parliament, however, remained substantially an outsider in the formulation of all the vast apparatus of the measures adopted. If the form of the decree-law, which is perfectly suited to deal with the emergency because in any case, it remains in force for 60 days, had been adopted, a parliamentary debate would have favoured the involvement and accountability of the opposition. </w:t>
      </w:r>
    </w:p>
    <w:p w:rsidR="00000000" w:rsidDel="00000000" w:rsidP="00000000" w:rsidRDefault="00000000" w:rsidRPr="00000000" w14:paraId="00000023">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a new exponential increase in the curve of contagions, the so-called “second wave”, from October 8, 2020 it becomes mandatory to wear a mask both in outdoor and indoor places. Meanwhile, the Italian Parliament approves a law in force from October 13 2020 that limits the possibility of assembly with precise rules for activities such as restaurants, cinemas, theaters, sports competitions and parties. On November 7, 2020, the Government introduced the extraordinary measure of a curfew generally between 00:00 and 5:00, for which all movement is prohibited With the DPCM of November 3, 2020, rectified with the DPCMs of December 3, 2020 and January 14, 2021, Italian regions are grouped into three different types of epidemiological scenarios. A nationwide curfew from 10 p.m. to 5 a.m. is instituted, weekend closures of shopping centers are ordered, and distance learning is used for high schools. For regions in the "orange zone", however, the ban on travel outside the municipality of residence and the closure of food services are extended, while for regions in the "red zone" the ban on travel within the municipality, the closure of stores and markets and the use of distance learning from the seventh grade onwards apply. </w:t>
      </w:r>
    </w:p>
    <w:p w:rsidR="00000000" w:rsidDel="00000000" w:rsidP="00000000" w:rsidRDefault="00000000" w:rsidRPr="00000000" w14:paraId="0000002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Following the rise of the curve of contagions, with Decree-Law No. 30 the yellow zone is repealed as of March 15, 2021, and a national red zone is established during the Easter holidays (April 3 to 5).The yellow zone is repealed as of March 15, 2021.</w:t>
      </w:r>
    </w:p>
    <w:p w:rsidR="00000000" w:rsidDel="00000000" w:rsidP="00000000" w:rsidRDefault="00000000" w:rsidRPr="00000000" w14:paraId="00000025">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Decree-Law No. 52 of April 22, 2021 reinstates the yellow zones and extends the state of emergency until July 31, 2021. A timetable of gradual reopenings for yellow zones is also drawn up, and COVID-19 green certification is established for people who have been vaccinated against SARS-CoV-2, have recovered from COVID-19, or have had a rapid antigen or molecular test with a negative result for SARS-CoV-2. Decree-Law no. 65 of May 18, 2021 updates the opening schedule and also establishes a green certification for those who have received a single dose of vaccine, and also provides for a gradual tightening of the curfew until its abolition on June 21, 2021. Beginning June 28, the requirement to wear a mask outdoors lapses.</w:t>
      </w:r>
    </w:p>
    <w:p w:rsidR="00000000" w:rsidDel="00000000" w:rsidP="00000000" w:rsidRDefault="00000000" w:rsidRPr="00000000" w14:paraId="00000026">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Decree-Law No. 105 of July 23, 2021, the state of emergency is extended until December 31, 2021, and the contexts in which, as of August 6, COVID-19 green certification is mandatory are expanded; the parameters for differentiating regions into epidemiological scenarios also change, this time based on the occupancy rate of intensive care units and medical areas.</w:t>
      </w:r>
    </w:p>
    <w:p w:rsidR="00000000" w:rsidDel="00000000" w:rsidP="00000000" w:rsidRDefault="00000000" w:rsidRPr="00000000" w14:paraId="00000028">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Decree-Law No. 111 of August 6, 2021, extends the green certification requirement, effective September 1, to school and university personnel and students, and school activities must take place primarily in attendance. Also as of September 1, green certification becomes mandatory for using medium- to long-distance means of transportation. </w:t>
      </w:r>
    </w:p>
    <w:p w:rsidR="00000000" w:rsidDel="00000000" w:rsidP="00000000" w:rsidRDefault="00000000" w:rsidRPr="00000000" w14:paraId="00000029">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philosopher and constitutionalist Luigi Ferrajoli made some comments on the legislative measures adopted by the Italian Government: “I find the number of bans imposed in Italy excessive, some of which are dictated by an unjustified lack of confidence in the intelligence and sense of responsibility of citizens. Above all, I fear abuses and the margins of appreciation in the exercise of police powers to control compliance with health measures to contain the contagion. Finally, there's the risk of a strengthening of criminal organisations, which with the enormous amount of cash at their disposal will be able to buy many companies affected by the crisis at bargain prices” (Ferrajoli, 2020, p. 156). </w:t>
      </w:r>
    </w:p>
    <w:p w:rsidR="00000000" w:rsidDel="00000000" w:rsidP="00000000" w:rsidRDefault="00000000" w:rsidRPr="00000000" w14:paraId="0000002A">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pageBreakBefore w:val="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PANDEMIC IN ITALIAN PRISONS: A CASE STUDY </w:t>
      </w:r>
    </w:p>
    <w:p w:rsidR="00000000" w:rsidDel="00000000" w:rsidP="00000000" w:rsidRDefault="00000000" w:rsidRPr="00000000" w14:paraId="0000002C">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the authors argue that one cannot speak of excessive authority in the case of the measures adopted by italy, the paper would like to propose a reflection on the effect of restrictions in already coercive contexts, in which the reduction of margins of autonomy have had a disruptive impact, and revealed forms and contradictions often masked in democratic contexts. For this reason, </w:t>
      </w:r>
      <w:r w:rsidDel="00000000" w:rsidR="00000000" w:rsidRPr="00000000">
        <w:rPr>
          <w:rFonts w:ascii="Times New Roman" w:cs="Times New Roman" w:eastAsia="Times New Roman" w:hAnsi="Times New Roman"/>
          <w:sz w:val="24"/>
          <w:szCs w:val="24"/>
          <w:rtl w:val="0"/>
        </w:rPr>
        <w:t xml:space="preserve">the last part of the paper will focus on a specific case study: the reaction to restrictive measures in Italian prisons. </w:t>
      </w:r>
    </w:p>
    <w:p w:rsidR="00000000" w:rsidDel="00000000" w:rsidP="00000000" w:rsidRDefault="00000000" w:rsidRPr="00000000" w14:paraId="0000002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notion of a syndemic was first conceived by Merrill Singer, an American medical anthropologist, in the 1990s. Writing in The Lancet in 2017, together with Emily Mendenhall and colleagues, Singer argued that a syndemic approach reveals biological and social interactions that are important for prognosis, treatment, and health policy. </w:t>
      </w:r>
    </w:p>
    <w:p w:rsidR="00000000" w:rsidDel="00000000" w:rsidP="00000000" w:rsidRDefault="00000000" w:rsidRPr="00000000" w14:paraId="0000002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Richard Horton explained that: “The aggregation of these diseases on a background of social and economic disparity exacerbates the adverse effects of each separate disease. COVID-19 is not a pandemic. It is a syndemic. The syndemic nature of the threat we face means that a more nuanced approach is needed if we are to protect the health of our communities”</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2F">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Among the social groups most at risk, prisoners occupy a prominent position. Prison facilities are epicenters for numerous infectious diseases (F. Dutheil, J.B. Bouillon-Minois, M. Clinchamps, 2020), due to three macroscopic factors: 1) Unavoidable close contact in often overcrowded, poorly ventilated and unhygienic facilities; 2) poor access to health care; 3) very rapid spread of pathogens among inmates, visitors and staff, inside and outside the prison community (internal - external communication).</w:t>
      </w:r>
    </w:p>
    <w:p w:rsidR="00000000" w:rsidDel="00000000" w:rsidP="00000000" w:rsidRDefault="00000000" w:rsidRPr="00000000" w14:paraId="00000030">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Italy the risk is further accentuated by the conditions of overcrowding in which prisons have returned after the respite marked by the measures following the judgment of the Edu Court on the case of Torreggiani v. Italy (2013)[5]. As of February 29, 2020, the prison population amounted to 61,230 inmates, compared to a regulatory capacity of 50,931: compared to a physiological situation, the Italian prisons Italian prisons therefore 'hosted' 10,299 people in excess, for a rate of overcrowding rate of 120%.</w:t>
      </w:r>
    </w:p>
    <w:p w:rsidR="00000000" w:rsidDel="00000000" w:rsidP="00000000" w:rsidRDefault="00000000" w:rsidRPr="00000000" w14:paraId="0000003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strategies implemented to preserve prison places - potentially epidemic bombs (M. Cingolani, L. Caraceni, N. Cannovo, P. Fedeli, 2020) - wind along the dichotomy in and out: regulation of sociality (already precarious) inside and limitation of contact (also very delicate) with the outside.</w:t>
      </w:r>
    </w:p>
    <w:p w:rsidR="00000000" w:rsidDel="00000000" w:rsidP="00000000" w:rsidRDefault="00000000" w:rsidRPr="00000000" w14:paraId="00000032">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Italy finds itself frightened with new restrictive measures of daily life to defend itself from the spread of the contagion, the Government, the Ministry of Justice and the Prison Department  adopted a series of measures that affect the penitentiary context.</w:t>
      </w:r>
    </w:p>
    <w:p w:rsidR="00000000" w:rsidDel="00000000" w:rsidP="00000000" w:rsidRDefault="00000000" w:rsidRPr="00000000" w14:paraId="00000033">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February 26, 2020 the Department proposes a note, which provides in the most affected regions the suspension of treatment activities for which community access is foreseen or necessary access to the external community; the containment of external and internal work activities for which the presence of people from outside is foreseen; the replacement of in-person interviews with remote interviews by means of the equipment provided in penitentiary institutions (Skype) and with telephone correspondence, which may be authorized beyond the limits. On March 8 the same measures were extended for the entire national territory with the D.L.</w:t>
      </w:r>
    </w:p>
    <w:p w:rsidR="00000000" w:rsidDel="00000000" w:rsidP="00000000" w:rsidRDefault="00000000" w:rsidRPr="00000000" w14:paraId="0000003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8, 2020, no. 11 (art. 2, paragraphs 7 and 8): "Extraordinary and urgent measures to counter the epidemiological emergency from Covid-19 and contain the negative effects on the performance of judicial activities” and the D.P.C.M. 8 March 2020, n. 11 (art. 2, letter u) (later updated and extended time by the Prime Ministerial Decree of April 26, 2020 (art. 1, letter y).</w:t>
      </w:r>
    </w:p>
    <w:p w:rsidR="00000000" w:rsidDel="00000000" w:rsidP="00000000" w:rsidRDefault="00000000" w:rsidRPr="00000000" w14:paraId="0000003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reduction of contact with the outside world (suspension of activities run by volunteers, trainers and teachers and interruption of interviews with relatives) is decided by the Government and communicated by the prison administration as an integrated preventive measure with respect to the potential spread of contagion inside the prison. It is possible to say that it would have been more credible if the entry of essential personnel (policemen and health workers) had been managed through screening and protection devices used with more rigor. But there is no doubt that this strategy responds to a logic of preventive rationality. Some observers have advanced the idea that this strategy has not been adequately explained to (or understood by the detainees), speaking of a deficit in internal communication.</w:t>
      </w:r>
    </w:p>
    <w:p w:rsidR="00000000" w:rsidDel="00000000" w:rsidP="00000000" w:rsidRDefault="00000000" w:rsidRPr="00000000" w14:paraId="00000036">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heels of these provisions, trail 7 and 10 March 2020, the Italian prisons are overwhelmed by serious disorders, a patchy, sudden reaction and uncontrollable reaction to restrictions not</w:t>
      </w:r>
    </w:p>
    <w:p w:rsidR="00000000" w:rsidDel="00000000" w:rsidP="00000000" w:rsidRDefault="00000000" w:rsidRPr="00000000" w14:paraId="00000037">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agreed and not communicated congruently. 49 prisons (¼ of the National prisons) started massive riots, If in some cases these have been protest demonstrations without damage, in different contexts, according to what is reported by the National NPM of real riots that lasted for hours and had led to tragic consequences. From the chronicles carried out by the National NPM, it has been possible to reconstruct that of the 61,000 inmates, about 6,000 were involved in the protests (in the 49 institutes). Many sections were completely destroyed (with a reduction of about 2000 places in the capacity) and the relative transfer of inmates to other institutions. They are thirteen detainees who died in the clashes, an unprecedented number in the history of the penitentiary. Eleven of the people who died were foreigners (five in Modena prisons, four from there, died in Alessandria, Verona, Parma, Ascoli Piceno, another three in Rieti and one in Bologna). Sixty-nine injured among the convicts, more than a hundred among the prison officers and five medical workers; significant escapes from Foggia prison. Many material damages: several sections have been completely destroyed with an estimated damage of millions of euros and a reduction of more than thousand places available in the following days.</w:t>
      </w:r>
    </w:p>
    <w:p w:rsidR="00000000" w:rsidDel="00000000" w:rsidP="00000000" w:rsidRDefault="00000000" w:rsidRPr="00000000" w14:paraId="0000003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prison riots of the pandemic, at first glance, do not seem to be part of an agitation dictated by a political awareness of the conditions of the penitentiary, but more in the production of a series of violent subjectivities in the face of a repeated structural violence. There is not really a symbolic dimension to the claims, while it would seem that a violence that is accompanied by a symbolic-communicative content may be the reaction that followed. Although the reconstructions are partial, and only time and the work of the prosecutors will perhaps be able to clarify what happened, the decomposed and dramatic action was (in the declarations) a reaction that brings together fear (of contagion) and suspension of the material link with the outside world, given by the interviews. They are the set of actions and reactions, which can perhaps be configured as political violence, both because it calls into question the very symbol of the penitentiary (on the side of the reasons of the prisoners), i.e. its intrinsic disciplinary function, and because that gesture of rupture has political effects, and places the penitentiary in a space of reaffirmation of powers and resistances (as far as the agents are concerned), and makes explicit the forms of violence that usually develop under the surface. </w:t>
      </w:r>
    </w:p>
    <w:p w:rsidR="00000000" w:rsidDel="00000000" w:rsidP="00000000" w:rsidRDefault="00000000" w:rsidRPr="00000000" w14:paraId="00000039">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long tail of these events has a further motion of revolt almost a month later following the infection of a prisoner in the prison of Santa Maria Capua Vetere. </w:t>
      </w:r>
    </w:p>
    <w:p w:rsidR="00000000" w:rsidDel="00000000" w:rsidP="00000000" w:rsidRDefault="00000000" w:rsidRPr="00000000" w14:paraId="0000003A">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April 5, 2020, the day before the prison violence, a group of guests in the Nile ward (several wards in the prison have river names) organized a protest to demand that masks and other protective equipment be provided to inmates to reduce the risk of coronavirus infection. In the same day they had in fact learned from a TV news that in the prison of Santa Maria Capua Vetere had been found a first case of COVID-19.</w:t>
      </w:r>
    </w:p>
    <w:p w:rsidR="00000000" w:rsidDel="00000000" w:rsidP="00000000" w:rsidRDefault="00000000" w:rsidRPr="00000000" w14:paraId="0000003B">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Shortly before 8 p.m., the closing time of the cells, at the Nile several inmates refused to return to the corridor to continue the protest. In some sections of the ward, cots were moved out of the cells to use them as barricades, preventing officers from passing through the corridors. According to reconstructions, at least 22 people were in the corridors instead of being in the cells and already in the afternoon they had asked to be allowed to speak with prison officials, without receiving a response.</w:t>
      </w:r>
    </w:p>
    <w:p w:rsidR="00000000" w:rsidDel="00000000" w:rsidP="00000000" w:rsidRDefault="00000000" w:rsidRPr="00000000" w14:paraId="0000003C">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one day of protests, on April 6, 2020 in the Francesco Uccella prison in Santa Maria Capua Vetere, a group of penitentiary agents from other penal institutions brutally beat up inmates. </w:t>
      </w:r>
    </w:p>
    <w:p w:rsidR="00000000" w:rsidDel="00000000" w:rsidP="00000000" w:rsidRDefault="00000000" w:rsidRPr="00000000" w14:paraId="0000003D">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86075" cy="1581150"/>
            <wp:effectExtent b="0" l="0" r="0" t="0"/>
            <wp:docPr id="1" name="image1.jpg"/>
            <a:graphic>
              <a:graphicData uri="http://schemas.openxmlformats.org/drawingml/2006/picture">
                <pic:pic>
                  <pic:nvPicPr>
                    <pic:cNvPr id="0" name="image1.jpg"/>
                    <pic:cNvPicPr preferRelativeResize="0"/>
                  </pic:nvPicPr>
                  <pic:blipFill>
                    <a:blip r:embed="rId11"/>
                    <a:srcRect b="0" l="0" r="0" t="0"/>
                    <a:stretch>
                      <a:fillRect/>
                    </a:stretch>
                  </pic:blipFill>
                  <pic:spPr>
                    <a:xfrm>
                      <a:off x="0" y="0"/>
                      <a:ext cx="2886075" cy="1581150"/>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4394200"/>
            <wp:effectExtent b="0" l="0" r="0" t="0"/>
            <wp:docPr id="3" name="image2.jpg"/>
            <a:graphic>
              <a:graphicData uri="http://schemas.openxmlformats.org/drawingml/2006/picture">
                <pic:pic>
                  <pic:nvPicPr>
                    <pic:cNvPr id="0" name="image2.jpg"/>
                    <pic:cNvPicPr preferRelativeResize="0"/>
                  </pic:nvPicPr>
                  <pic:blipFill>
                    <a:blip r:embed="rId12"/>
                    <a:srcRect b="0" l="0" r="0" t="0"/>
                    <a:stretch>
                      <a:fillRect/>
                    </a:stretch>
                  </pic:blipFill>
                  <pic:spPr>
                    <a:xfrm>
                      <a:off x="0" y="0"/>
                      <a:ext cx="5943600" cy="4394200"/>
                    </a:xfrm>
                    <a:prstGeom prst="rect"/>
                    <a:ln/>
                  </pic:spPr>
                </pic:pic>
              </a:graphicData>
            </a:graphic>
          </wp:inline>
        </w:drawing>
      </w:r>
      <w:r w:rsidDel="00000000" w:rsidR="00000000" w:rsidRPr="00000000">
        <w:rPr>
          <w:rtl w:val="0"/>
        </w:rPr>
      </w:r>
    </w:p>
    <w:p w:rsidR="00000000" w:rsidDel="00000000" w:rsidP="00000000" w:rsidRDefault="00000000" w:rsidRPr="00000000" w14:paraId="00000040">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April 6, about 300 prison officers from the prison and from outside - superintendents, inspectors, commissioners and members of the Intervention Support Group (a structure that depends on the regional administrator Fullone) - organized according to the judiciary "arbitrary personal searches and abuse of authority", with the aim of responding to the protests of the previous day in the Nile ward.</w:t>
      </w:r>
    </w:p>
    <w:p w:rsidR="00000000" w:rsidDel="00000000" w:rsidP="00000000" w:rsidRDefault="00000000" w:rsidRPr="00000000" w14:paraId="00000042">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 chat on WhatsApp (published by the Prosecutor officer) with members of the Santa Maria C.V. Penitentiary Police, rather clear messages were exchanged about the objectives of the initiative:</w:t>
      </w:r>
    </w:p>
    <w:p w:rsidR="00000000" w:rsidDel="00000000" w:rsidP="00000000" w:rsidRDefault="00000000" w:rsidRPr="00000000" w14:paraId="00000043">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So tomorrow keys and pickaxe in hand.</w:t>
      </w:r>
    </w:p>
    <w:p w:rsidR="00000000" w:rsidDel="00000000" w:rsidP="00000000" w:rsidRDefault="00000000" w:rsidRPr="00000000" w14:paraId="00000045">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We cut them down like calves.</w:t>
      </w:r>
    </w:p>
    <w:p w:rsidR="00000000" w:rsidDel="00000000" w:rsidP="00000000" w:rsidRDefault="00000000" w:rsidRPr="00000000" w14:paraId="00000046">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Then no one comes by.</w:t>
      </w:r>
    </w:p>
    <w:p w:rsidR="00000000" w:rsidDel="00000000" w:rsidP="00000000" w:rsidRDefault="00000000" w:rsidRPr="00000000" w14:paraId="00000047">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The boys know what to do.</w:t>
      </w:r>
    </w:p>
    <w:p w:rsidR="00000000" w:rsidDel="00000000" w:rsidP="00000000" w:rsidRDefault="00000000" w:rsidRPr="00000000" w14:paraId="00000048">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If three idiots come out of their cells and want to do something, they will be immediately shot down.</w:t>
      </w:r>
    </w:p>
    <w:p w:rsidR="00000000" w:rsidDel="00000000" w:rsidP="00000000" w:rsidRDefault="00000000" w:rsidRPr="00000000" w14:paraId="00000049">
      <w:pPr>
        <w:pageBreakBefore w:val="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 The Nile Department must be closed forever, 'u tiempo d'è buone azioni' is over, W la polizia penitenziaria.</w:t>
      </w:r>
    </w:p>
    <w:p w:rsidR="00000000" w:rsidDel="00000000" w:rsidP="00000000" w:rsidRDefault="00000000" w:rsidRPr="00000000" w14:paraId="0000004A">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"search" began around 15:30 in the afternoon, with the intervention of agents in several cells of the Nile ward. Without giving any particular explanation, the detainees were asked to stand in front of their cells, with their hands and faces against the wall. The treatment was different depending on who was conducting the search and whether or not the alleged organizers of the protest were present. </w:t>
      </w:r>
    </w:p>
    <w:p w:rsidR="00000000" w:rsidDel="00000000" w:rsidP="00000000" w:rsidRDefault="00000000" w:rsidRPr="00000000" w14:paraId="0000004B">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result of the "search", 15 detainees were identified as having resisted and were to be punished by being transferred to solitary confinement and excluded from communal activities for two weeks. Many of those involved were the same ones previously indicated as the organizers of the April 5 protest.</w:t>
      </w:r>
    </w:p>
    <w:p w:rsidR="00000000" w:rsidDel="00000000" w:rsidP="00000000" w:rsidRDefault="00000000" w:rsidRPr="00000000" w14:paraId="0000004C">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transfer, according to the Prosecutor's Office, was justified by certificates issued by a doctor, who signed thirteen almost identical reports in which he indicated the presence of traumas "procured" during the activities of "containment by prison police personnel". The reports were compatible with the reports on the "search" carried out on April 6, which, however, told a rather different version of what had happened in the prison and documented by CCTV footage.</w:t>
      </w:r>
    </w:p>
    <w:p w:rsidR="00000000" w:rsidDel="00000000" w:rsidP="00000000" w:rsidRDefault="00000000" w:rsidRPr="00000000" w14:paraId="0000004D">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prosecutor's office has made public the video of the violence carried out in the Santa Maria prison, a key part of the proceedings against 54 police officers involved in the beatings: (</w:t>
      </w:r>
      <w:hyperlink r:id="rId13">
        <w:r w:rsidDel="00000000" w:rsidR="00000000" w:rsidRPr="00000000">
          <w:rPr>
            <w:rFonts w:ascii="Times New Roman" w:cs="Times New Roman" w:eastAsia="Times New Roman" w:hAnsi="Times New Roman"/>
            <w:color w:val="1155cc"/>
            <w:sz w:val="24"/>
            <w:szCs w:val="24"/>
            <w:u w:val="single"/>
            <w:rtl w:val="0"/>
          </w:rPr>
          <w:t xml:space="preserve">https://www.youtube.com/watch?v=313hEspbdu8</w:t>
        </w:r>
      </w:hyperlink>
      <w:r w:rsidDel="00000000" w:rsidR="00000000" w:rsidRPr="00000000">
        <w:rPr>
          <w:rFonts w:ascii="Times New Roman" w:cs="Times New Roman" w:eastAsia="Times New Roman" w:hAnsi="Times New Roman"/>
          <w:sz w:val="24"/>
          <w:szCs w:val="24"/>
          <w:rtl w:val="0"/>
        </w:rPr>
        <w:t xml:space="preserve">);(</w:t>
      </w:r>
      <w:hyperlink r:id="rId14">
        <w:r w:rsidDel="00000000" w:rsidR="00000000" w:rsidRPr="00000000">
          <w:rPr>
            <w:rFonts w:ascii="Times New Roman" w:cs="Times New Roman" w:eastAsia="Times New Roman" w:hAnsi="Times New Roman"/>
            <w:color w:val="1155cc"/>
            <w:sz w:val="24"/>
            <w:szCs w:val="24"/>
            <w:u w:val="single"/>
            <w:rtl w:val="0"/>
          </w:rPr>
          <w:t xml:space="preserve">https://www.youtube.com/watch?v=x-bzBPnllL0</w:t>
        </w:r>
      </w:hyperlink>
      <w:r w:rsidDel="00000000" w:rsidR="00000000" w:rsidRPr="00000000">
        <w:rPr>
          <w:rFonts w:ascii="Times New Roman" w:cs="Times New Roman" w:eastAsia="Times New Roman" w:hAnsi="Times New Roman"/>
          <w:sz w:val="24"/>
          <w:szCs w:val="24"/>
          <w:rtl w:val="0"/>
        </w:rPr>
        <w:t xml:space="preserve">). Striking is the technology of violence adopted in the 4 hours of "reprisal" carried out. Despite the ongoing processes, the aftermath of the prison riot was a small legal change, a sort of “promotion” involving the GOM group and the management of public order in prison. </w:t>
      </w:r>
    </w:p>
    <w:p w:rsidR="00000000" w:rsidDel="00000000" w:rsidP="00000000" w:rsidRDefault="00000000" w:rsidRPr="00000000" w14:paraId="0000004E">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GOM (Mobile operative group) are a special police group who take care of the custody of prisoners and inmates subjected to the special regime provided for by art. 41-bis of the Penitentiary Regulations; they take care of the translation and staking out of those with a very high index of dangerousness, including bosses and affiliates of the various Italian and foreign mafias and exponents of subversive and terrorist organizations; they take care of prisoners who cooperate with the justice system and are considered more exposed to risks; and they intervene, on the disposition of the Head of the Department, when dealing with serious management situations in the penitentiary. These are the 630 members of the Penitentiary Police Mobile Operations Group (GOM).</w:t>
      </w:r>
    </w:p>
    <w:p w:rsidR="00000000" w:rsidDel="00000000" w:rsidP="00000000" w:rsidRDefault="00000000" w:rsidRPr="00000000" w14:paraId="0000004F">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the end of 2020, these are the numbers associated with their work: 755 inmates under the 41-bis regime, including 13 women, to be monitored on a daily basis in the 12 penitentiary institutions where they are deployed; 71 admissions managed by the GOM to external places of care and 1,012 translations carried out for health reasons, including admissions and medical examinations.</w:t>
      </w:r>
    </w:p>
    <w:p w:rsidR="00000000" w:rsidDel="00000000" w:rsidP="00000000" w:rsidRDefault="00000000" w:rsidRPr="00000000" w14:paraId="00000050">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602 men and 28 women of the Group are distributed between the headquarters in Rome (about 40 units) and the 12 Mobile Operations Units (ROM) present in the penitentiaries of Cuneo, L'Aquila, Milano Opera, Novara, Nuoro, Parma, Roma Rebibbia, Sassari, Spoleto, Terni, Tolmezzo and Viterbo.</w:t>
      </w:r>
    </w:p>
    <w:p w:rsidR="00000000" w:rsidDel="00000000" w:rsidP="00000000" w:rsidRDefault="00000000" w:rsidRPr="00000000" w14:paraId="00000051">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GOM was set up 21 years ago with the Ministerial Decree of February 19, 1999. On July 30, 2020 the former Minister of Justice Alfonso Bonafede signed the ministerial decree reorganizing the Mobile Operations Group, recalling "that every day the GOM works in the trenches and carries out a fundamental action to make the mafias feel the breath on the neck of the State".</w:t>
      </w:r>
    </w:p>
    <w:p w:rsidR="00000000" w:rsidDel="00000000" w:rsidP="00000000" w:rsidRDefault="00000000" w:rsidRPr="00000000" w14:paraId="00000052">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new structure of the Group redefines the duties of the director and the vice-director, grants greater administrative and accounting autonomy, reshapes the mobile operational departments in the territory, speeds up the recruitment of personnel to be assigned to the department and redetermines, deferring to a subsequent decree, the department's staffing levels.</w:t>
      </w:r>
    </w:p>
    <w:p w:rsidR="00000000" w:rsidDel="00000000" w:rsidP="00000000" w:rsidRDefault="00000000" w:rsidRPr="00000000" w14:paraId="00000053">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second measure was adopted by the Ministry of Interior, on 29 January 2021, proposing guidelines on the regulation of extraordinary procedures in case of public disorder in prison. </w:t>
      </w:r>
    </w:p>
    <w:p w:rsidR="00000000" w:rsidDel="00000000" w:rsidP="00000000" w:rsidRDefault="00000000" w:rsidRPr="00000000" w14:paraId="00000054">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combined provisions of art. 31 of Presidential Decree 82/1999 (Service Regulations of the Prison Police Corps) regarding the duties and autonomy of the Department Commander, and art. 93 of Presidential Decree 230/2000 (Regulations containing norms on prison regulations and on measures of deprivation and limitation of liberty) regarding police intervention, exclusively entrust the Department Commander with the exclusive responsibility for the intervention of police forces. 230/2000 (Regulations containing norms on the penitentiary system and on the measures of deprivation and limitation of liberty) regarding the intervention of the Police Forces, entrusts exclusively to the Commander of the Penitentiary Police Department the maintenance of order and security within the Institute and to the Director - and in his absence and impediment to the Commander - the residual power to request the Prefect the intervention of the Police Forces in case of serious events, which cannot be managed with the available resources. </w:t>
      </w:r>
    </w:p>
    <w:p w:rsidR="00000000" w:rsidDel="00000000" w:rsidP="00000000" w:rsidRDefault="00000000" w:rsidRPr="00000000" w14:paraId="00000055">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Compared to the previous regulation, these guidelines determine that interventions in case of disturbances in Penitentiary Institutions - which must be considered activities of public order, given the qualification of Prison Officers and Substitute P.S. Officers of the members of the Penitentiary Police and therefore under the responsibility and direction of the P.S. Authority - are addressed to two macro areas of intervention: external control and intervention, of an exceptional nature, inside the Institution when requested by the Director of the Institution or, in his absence or impediment, by the Director. S. - is aimed at two macro areas of intervention: external control and intervention, of an exceptional nature, inside the Institute when requested by the Director of the Institute or, in his absence or impediment, by the Commander of the Prison Police Department. </w:t>
      </w:r>
    </w:p>
    <w:p w:rsidR="00000000" w:rsidDel="00000000" w:rsidP="00000000" w:rsidRDefault="00000000" w:rsidRPr="00000000" w14:paraId="00000056">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intervention device can be divided into: </w:t>
      </w:r>
    </w:p>
    <w:p w:rsidR="00000000" w:rsidDel="00000000" w:rsidP="00000000" w:rsidRDefault="00000000" w:rsidRPr="00000000" w14:paraId="00000057">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general provincial coordination activities, directed by the Prefect</w:t>
      </w:r>
    </w:p>
    <w:p w:rsidR="00000000" w:rsidDel="00000000" w:rsidP="00000000" w:rsidRDefault="00000000" w:rsidRPr="00000000" w14:paraId="00000058">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provincial technical-operational planning, under the responsibility of the Chief of Police;</w:t>
      </w:r>
    </w:p>
    <w:p w:rsidR="00000000" w:rsidDel="00000000" w:rsidP="00000000" w:rsidRDefault="00000000" w:rsidRPr="00000000" w14:paraId="00000059">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management of the critical event in the double declination of first intervention measures and external control and exceptional intervention inside the Institute.</w:t>
      </w:r>
    </w:p>
    <w:p w:rsidR="00000000" w:rsidDel="00000000" w:rsidP="00000000" w:rsidRDefault="00000000" w:rsidRPr="00000000" w14:paraId="0000005A">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Control over human needs moves away from the discussion of economic control in organizations, but is very similar to the concept of structural violence discussed in political science and peace studies (Galtung 1969; Farmer 2004). With structural violence, individuals can be hurt, but "there can be no person who directly harms another person in the structure. Violence is embedded in the structure and manifests itself as unequal power and consequently unequal life opportunities... Above all, the power to decide on the distribution of resources is unequally distributed" (Galtung 1969, p.171). Galtung goes on to say that "if people starve when this is objectively avoidable, then violence is committed, regardless of whether there is a clear subject-action-object relationship" (1969 p.171). In the same way that organizations can use economic means of control against workers, total and coercive institutions can use structural violence in the form of deprivation of food, water, adequate shelter, or mobility as a method of control. In a sense, this acts to prevent any sense of relative deprivation (Rule 1988), and thus any potential resistance. Methods of control such as surveillance and structural violence act to order constricted populations in ways that prevent resistance and ensure that they cannot escape or ignore organizational conditions. If the theory of organization helps this type of reflection, the forms of violence in prison are multiple. It is useful here to recall the classifications of violence proposed by Philippe Bourgois, which allow us to understand how often lexical ambiguity leads to combining the forms of violence, of the inmates and the police, in a single linguistic cauldron. </w:t>
      </w:r>
    </w:p>
    <w:p w:rsidR="00000000" w:rsidDel="00000000" w:rsidP="00000000" w:rsidRDefault="00000000" w:rsidRPr="00000000" w14:paraId="0000005B">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Structural violence, as proposed by Galtung (1969, 1975), is a chronic violence, historically entrenched in political-economic oppression and social inequality, ranging from the exploitation of international market forms to local labor conditions along with high rates of infant mortality. In the space of the prison, this form of violence is part of the experience of inmates, especially the migrant component of the inmate population. </w:t>
      </w:r>
    </w:p>
    <w:p w:rsidR="00000000" w:rsidDel="00000000" w:rsidP="00000000" w:rsidRDefault="00000000" w:rsidRPr="00000000" w14:paraId="0000005C">
      <w:pPr>
        <w:pageBreakBefore w:val="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this, one could perhaps conjure here a reformulation of the concept of political violence: targeted physical violence (a horrible term, but so reported in the literature by Gilbert, 1997) and violence administered as much by official authorities as by forms of resistance, such as military repression, police torture, and armed resistance. In this category can perhaps be placed the prison riots that occurred from March 7 and 10, 2020. It seems interesting to understand the anomaly of what happened, both because of the unusual violence unleashed and because of some elements of discontinuity with past practices and forms of penitentiary protests. </w:t>
      </w:r>
    </w:p>
    <w:p w:rsidR="00000000" w:rsidDel="00000000" w:rsidP="00000000" w:rsidRDefault="00000000" w:rsidRPr="00000000" w14:paraId="0000005D">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E">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BRIEF CONCLUSIONS</w:t>
      </w:r>
    </w:p>
    <w:p w:rsidR="00000000" w:rsidDel="00000000" w:rsidP="00000000" w:rsidRDefault="00000000" w:rsidRPr="00000000" w14:paraId="0000006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case reported, which represents an extreme case both in terms of the vulnerability of the persons involved and the violence perpetrated, is a borderline case that allows us to reflect on the unexceptional nature of the measures adopted for persons who are not in a vulnerable situation, but of the significant impact of emergency measures on all those who find themselves in a precarious situation of freedom, in the balance. This is the case of the management of migrants, the impact of the green pass on persons without fiscal residence, and the case just described of prisoners.</w:t>
      </w:r>
    </w:p>
    <w:p w:rsidR="00000000" w:rsidDel="00000000" w:rsidP="00000000" w:rsidRDefault="00000000" w:rsidRPr="00000000" w14:paraId="0000006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case study offer a specific micro perspective on the transformations of the pandemic that have reinforced and exacerbated the fragilities of the rule of law and civil liberties, the resilient instruments ( Burnell, &amp; Calvert, 1999) the resilient tools that can be activated and the forms of conflict that the pandemic has produced.</w:t>
      </w:r>
    </w:p>
    <w:p w:rsidR="00000000" w:rsidDel="00000000" w:rsidP="00000000" w:rsidRDefault="00000000" w:rsidRPr="00000000" w14:paraId="00000062">
      <w:pPr>
        <w:pageBreakBefore w:val="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pageBreakBefore w:val="0"/>
        <w:jc w:val="both"/>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64">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https://gisanddata.maps.arcgis.com/apps/opsdashboard/index.html#/bda7594740fd40299423467b48e9ecf6</w:t>
      </w:r>
    </w:p>
  </w:footnote>
  <w:footnote w:id="1">
    <w:p w:rsidR="00000000" w:rsidDel="00000000" w:rsidP="00000000" w:rsidRDefault="00000000" w:rsidRPr="00000000" w14:paraId="00000065">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https://www.worldometers.info/coronavirus/#countries</w:t>
      </w:r>
    </w:p>
  </w:footnote>
  <w:footnote w:id="2">
    <w:p w:rsidR="00000000" w:rsidDel="00000000" w:rsidP="00000000" w:rsidRDefault="00000000" w:rsidRPr="00000000" w14:paraId="00000066">
      <w:pPr>
        <w:spacing w:line="240" w:lineRule="auto"/>
        <w:rPr>
          <w:rFonts w:ascii="Times New Roman" w:cs="Times New Roman" w:eastAsia="Times New Roman" w:hAnsi="Times New Roman"/>
          <w:sz w:val="24"/>
          <w:szCs w:val="24"/>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4"/>
          <w:szCs w:val="24"/>
          <w:rtl w:val="0"/>
        </w:rPr>
        <w:t xml:space="preserve">Jason Horowitz and Emma Bubola, ‘On Day 1 of Lockdown, Italian Officials Urge Citizens to Abide by Rules’ (8 March 2020)</w:t>
      </w:r>
    </w:p>
  </w:footnote>
  <w:footnote w:id="3">
    <w:p w:rsidR="00000000" w:rsidDel="00000000" w:rsidP="00000000" w:rsidRDefault="00000000" w:rsidRPr="00000000" w14:paraId="0000006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https://www.thelancet.com/journals/lancet/article/PIIS0140-6736(20)32000-6/fulltext</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image" Target="media/image1.jpg"/><Relationship Id="rId10" Type="http://schemas.openxmlformats.org/officeDocument/2006/relationships/image" Target="media/image3.png"/><Relationship Id="rId13" Type="http://schemas.openxmlformats.org/officeDocument/2006/relationships/hyperlink" Target="https://www.youtube.com/watch?v=313hEspbdu8" TargetMode="External"/><Relationship Id="rId12" Type="http://schemas.openxmlformats.org/officeDocument/2006/relationships/image" Target="media/image2.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en.wikipedia.org/wiki/Veneto" TargetMode="External"/><Relationship Id="rId14" Type="http://schemas.openxmlformats.org/officeDocument/2006/relationships/hyperlink" Target="https://www.youtube.com/watch?v=x-bzBPnllL0"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mailto:valeria.verdolini@unimib.it" TargetMode="External"/><Relationship Id="rId8" Type="http://schemas.openxmlformats.org/officeDocument/2006/relationships/hyperlink" Target="mailto:michela.trinchese@unisalento.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