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1E4F" w:rsidRPr="00805616" w:rsidRDefault="007B3C99" w:rsidP="00842A35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Evolution Processes in Polymeric Networks followed through low-field TD-NMR </w:t>
      </w:r>
    </w:p>
    <w:p w:rsidR="00805616" w:rsidRPr="00201DDB" w:rsidRDefault="00805616" w:rsidP="00842A35">
      <w:pPr>
        <w:spacing w:after="0" w:line="240" w:lineRule="auto"/>
        <w:jc w:val="center"/>
        <w:rPr>
          <w:rFonts w:ascii="Times New Roman" w:eastAsia="Times New Roman" w:hAnsi="Times New Roman" w:cs="Times New Roman"/>
          <w:vertAlign w:val="superscript"/>
          <w:lang w:val="it-IT"/>
        </w:rPr>
      </w:pPr>
      <w:r w:rsidRPr="00201DDB">
        <w:rPr>
          <w:rFonts w:ascii="Times New Roman" w:eastAsia="Times New Roman" w:hAnsi="Times New Roman" w:cs="Times New Roman"/>
          <w:lang w:val="it-IT"/>
        </w:rPr>
        <w:t>Denise Besghini</w:t>
      </w:r>
      <w:r w:rsidRPr="00201DDB">
        <w:rPr>
          <w:rFonts w:ascii="Times New Roman" w:eastAsia="Times New Roman" w:hAnsi="Times New Roman" w:cs="Times New Roman"/>
          <w:vertAlign w:val="superscript"/>
          <w:lang w:val="it-IT"/>
        </w:rPr>
        <w:t>1</w:t>
      </w:r>
    </w:p>
    <w:p w:rsidR="00805616" w:rsidRPr="00805616" w:rsidRDefault="00805616" w:rsidP="00842A35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val="it-IT"/>
        </w:rPr>
      </w:pPr>
      <w:r w:rsidRPr="00805616">
        <w:rPr>
          <w:rFonts w:ascii="Times New Roman" w:eastAsia="Times New Roman" w:hAnsi="Times New Roman" w:cs="Times New Roman"/>
          <w:vertAlign w:val="superscript"/>
          <w:lang w:val="it-IT"/>
        </w:rPr>
        <w:t>1</w:t>
      </w:r>
      <w:r w:rsidR="00201DDB">
        <w:rPr>
          <w:rFonts w:ascii="Times New Roman" w:eastAsia="Times New Roman" w:hAnsi="Times New Roman" w:cs="Times New Roman"/>
          <w:i/>
          <w:lang w:val="it-IT"/>
        </w:rPr>
        <w:t>Materials Science Department, U</w:t>
      </w:r>
      <w:r w:rsidRPr="00805616">
        <w:rPr>
          <w:rFonts w:ascii="Times New Roman" w:eastAsia="Times New Roman" w:hAnsi="Times New Roman" w:cs="Times New Roman"/>
          <w:i/>
          <w:lang w:val="it-IT"/>
        </w:rPr>
        <w:t>niversità di Milano-Bicocca, Milan</w:t>
      </w:r>
      <w:r w:rsidR="00842A35">
        <w:rPr>
          <w:rFonts w:ascii="Times New Roman" w:eastAsia="Times New Roman" w:hAnsi="Times New Roman" w:cs="Times New Roman"/>
          <w:i/>
          <w:lang w:val="it-IT"/>
        </w:rPr>
        <w:t xml:space="preserve">, </w:t>
      </w:r>
      <w:proofErr w:type="spellStart"/>
      <w:r w:rsidR="00842A35">
        <w:rPr>
          <w:rFonts w:ascii="Times New Roman" w:eastAsia="Times New Roman" w:hAnsi="Times New Roman" w:cs="Times New Roman"/>
          <w:i/>
          <w:lang w:val="it-IT"/>
        </w:rPr>
        <w:t>Italy</w:t>
      </w:r>
      <w:proofErr w:type="spellEnd"/>
    </w:p>
    <w:p w:rsidR="00C502F1" w:rsidRPr="00805616" w:rsidRDefault="00C502F1" w:rsidP="00842A35">
      <w:pPr>
        <w:spacing w:after="0" w:line="240" w:lineRule="auto"/>
        <w:jc w:val="both"/>
        <w:rPr>
          <w:rFonts w:ascii="Times New Roman" w:hAnsi="Times New Roman" w:cs="Times New Roman"/>
        </w:rPr>
      </w:pPr>
      <w:bookmarkStart w:id="0" w:name="_Hlk536118095"/>
      <w:r w:rsidRPr="00805616">
        <w:rPr>
          <w:rFonts w:ascii="Times New Roman" w:eastAsia="Times New Roman" w:hAnsi="Times New Roman" w:cs="Times New Roman"/>
          <w:lang w:val="en-GB"/>
        </w:rPr>
        <w:t xml:space="preserve">Polymeric networks, </w:t>
      </w:r>
      <w:r w:rsidRPr="00805616">
        <w:rPr>
          <w:rFonts w:ascii="Times New Roman" w:eastAsia="Times New Roman" w:hAnsi="Times New Roman" w:cs="Times New Roman"/>
          <w:lang w:val="en-GB"/>
        </w:rPr>
        <w:t>especially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rubbers and hydrogels, are ubiquitous materials</w:t>
      </w:r>
      <w:r w:rsidRPr="00805616">
        <w:rPr>
          <w:rFonts w:ascii="Times New Roman" w:eastAsia="Times New Roman" w:hAnsi="Times New Roman" w:cs="Times New Roman"/>
          <w:lang w:val="en-GB"/>
        </w:rPr>
        <w:t>.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The </w:t>
      </w:r>
      <w:r w:rsidRPr="00805616">
        <w:rPr>
          <w:rFonts w:ascii="Times New Roman" w:eastAsia="Times New Roman" w:hAnsi="Times New Roman" w:cs="Times New Roman"/>
          <w:lang w:val="en-GB"/>
        </w:rPr>
        <w:t>determin</w:t>
      </w:r>
      <w:r w:rsidRPr="00805616">
        <w:rPr>
          <w:rFonts w:ascii="Times New Roman" w:eastAsia="Times New Roman" w:hAnsi="Times New Roman" w:cs="Times New Roman"/>
          <w:lang w:val="en-GB"/>
        </w:rPr>
        <w:t>ation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</w:t>
      </w:r>
      <w:r w:rsidRPr="00805616">
        <w:rPr>
          <w:rFonts w:ascii="Times New Roman" w:eastAsia="Times New Roman" w:hAnsi="Times New Roman" w:cs="Times New Roman"/>
          <w:lang w:val="en-GB"/>
        </w:rPr>
        <w:t>of their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structure-property relationships </w:t>
      </w:r>
      <w:r w:rsidRPr="00805616">
        <w:rPr>
          <w:rFonts w:ascii="Times New Roman" w:eastAsia="Times New Roman" w:hAnsi="Times New Roman" w:cs="Times New Roman"/>
          <w:lang w:val="en-GB"/>
        </w:rPr>
        <w:t>is fundamental for their rational design</w:t>
      </w:r>
      <w:r w:rsidRPr="00805616">
        <w:rPr>
          <w:rFonts w:ascii="Times New Roman" w:eastAsia="Times New Roman" w:hAnsi="Times New Roman" w:cs="Times New Roman"/>
          <w:lang w:val="en-GB"/>
        </w:rPr>
        <w:t>.</w:t>
      </w:r>
      <w:r w:rsidRPr="00805616">
        <w:rPr>
          <w:rFonts w:ascii="Times New Roman" w:hAnsi="Times New Roman" w:cs="Times New Roman"/>
        </w:rPr>
        <w:t xml:space="preserve"> </w:t>
      </w:r>
    </w:p>
    <w:p w:rsidR="00C502F1" w:rsidRPr="00805616" w:rsidRDefault="00C502F1" w:rsidP="00842A35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GB"/>
        </w:rPr>
      </w:pPr>
      <w:r w:rsidRPr="00805616">
        <w:rPr>
          <w:rFonts w:ascii="Times New Roman" w:eastAsia="Times New Roman" w:hAnsi="Times New Roman" w:cs="Times New Roman"/>
          <w:lang w:val="en-GB"/>
        </w:rPr>
        <w:t xml:space="preserve">Low Field (LF) Time Domain (TD) Nuclear Magnetic Resonance (NMR) </w:t>
      </w:r>
      <w:r w:rsidRPr="00805616">
        <w:rPr>
          <w:rFonts w:ascii="Times New Roman" w:eastAsia="Times New Roman" w:hAnsi="Times New Roman" w:cs="Times New Roman"/>
          <w:lang w:val="en-GB"/>
        </w:rPr>
        <w:t>is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a powerful technique</w:t>
      </w:r>
      <w:r w:rsidRPr="00805616">
        <w:rPr>
          <w:rFonts w:ascii="Times New Roman" w:hAnsi="Times New Roman" w:cs="Times New Roman"/>
        </w:rPr>
        <w:t xml:space="preserve"> 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to probe molecular-level dynamics, </w:t>
      </w:r>
      <w:r w:rsidRPr="00805616">
        <w:rPr>
          <w:rFonts w:ascii="Times New Roman" w:eastAsia="Times New Roman" w:hAnsi="Times New Roman" w:cs="Times New Roman"/>
          <w:lang w:val="en-GB"/>
        </w:rPr>
        <w:t>analysing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</w:t>
      </w:r>
      <w:r w:rsidRPr="00805616">
        <w:rPr>
          <w:rFonts w:ascii="Times New Roman" w:eastAsia="Times New Roman" w:hAnsi="Times New Roman" w:cs="Times New Roman"/>
          <w:vertAlign w:val="superscript"/>
          <w:lang w:val="en-GB"/>
        </w:rPr>
        <w:t>1</w:t>
      </w:r>
      <w:r w:rsidRPr="00805616">
        <w:rPr>
          <w:rFonts w:ascii="Times New Roman" w:eastAsia="Times New Roman" w:hAnsi="Times New Roman" w:cs="Times New Roman"/>
          <w:lang w:val="en-GB"/>
        </w:rPr>
        <w:t>H relaxation times T</w:t>
      </w:r>
      <w:r w:rsidRPr="00805616">
        <w:rPr>
          <w:rFonts w:ascii="Times New Roman" w:eastAsia="Times New Roman" w:hAnsi="Times New Roman" w:cs="Times New Roman"/>
          <w:vertAlign w:val="subscript"/>
          <w:lang w:val="en-GB"/>
        </w:rPr>
        <w:t>1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e T</w:t>
      </w:r>
      <w:r w:rsidRPr="00805616">
        <w:rPr>
          <w:rFonts w:ascii="Times New Roman" w:eastAsia="Times New Roman" w:hAnsi="Times New Roman" w:cs="Times New Roman"/>
          <w:vertAlign w:val="subscript"/>
          <w:lang w:val="en-GB"/>
        </w:rPr>
        <w:t>2</w:t>
      </w:r>
      <w:r w:rsidRPr="00805616">
        <w:rPr>
          <w:rFonts w:ascii="Times New Roman" w:eastAsia="Times New Roman" w:hAnsi="Times New Roman" w:cs="Times New Roman"/>
          <w:vertAlign w:val="subscript"/>
          <w:lang w:val="en-GB"/>
        </w:rPr>
        <w:t>.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That becomes very </w:t>
      </w:r>
      <w:r w:rsidRPr="00805616">
        <w:rPr>
          <w:rFonts w:ascii="Times New Roman" w:eastAsia="Times New Roman" w:hAnsi="Times New Roman" w:cs="Times New Roman"/>
          <w:color w:val="FF0000"/>
          <w:lang w:val="en-GB"/>
        </w:rPr>
        <w:t>useful</w:t>
      </w:r>
      <w:r w:rsidRPr="00805616">
        <w:rPr>
          <w:rFonts w:ascii="Times New Roman" w:eastAsia="Times New Roman" w:hAnsi="Times New Roman" w:cs="Times New Roman"/>
          <w:lang w:val="en-GB"/>
        </w:rPr>
        <w:t xml:space="preserve"> when it is necessary to monitor time-dependent processes. </w:t>
      </w:r>
    </w:p>
    <w:p w:rsidR="00C502F1" w:rsidRPr="00805616" w:rsidRDefault="00C502F1" w:rsidP="00842A35">
      <w:pPr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 w:rsidRPr="00805616">
        <w:rPr>
          <w:rFonts w:ascii="Times New Roman" w:hAnsi="Times New Roman" w:cs="Times New Roman"/>
          <w:lang w:val="en-GB"/>
        </w:rPr>
        <w:t xml:space="preserve">Thermo-gelation </w:t>
      </w:r>
      <w:r w:rsidR="008363E0" w:rsidRPr="00805616">
        <w:rPr>
          <w:rFonts w:ascii="Times New Roman" w:hAnsi="Times New Roman" w:cs="Times New Roman"/>
          <w:lang w:val="en-GB"/>
        </w:rPr>
        <w:t>has been investigated on methyl-cellulose</w:t>
      </w:r>
      <w:r w:rsidR="00842A35">
        <w:rPr>
          <w:rFonts w:ascii="Times New Roman" w:hAnsi="Times New Roman" w:cs="Times New Roman"/>
          <w:lang w:val="en-GB"/>
        </w:rPr>
        <w:t xml:space="preserve"> (MC)</w:t>
      </w:r>
      <w:r w:rsidR="008363E0" w:rsidRPr="00805616">
        <w:rPr>
          <w:rFonts w:ascii="Times New Roman" w:hAnsi="Times New Roman" w:cs="Times New Roman"/>
          <w:lang w:val="en-GB"/>
        </w:rPr>
        <w:t xml:space="preserve"> gels</w:t>
      </w:r>
      <w:r w:rsidR="00805616">
        <w:rPr>
          <w:rFonts w:ascii="Times New Roman" w:hAnsi="Times New Roman" w:cs="Times New Roman"/>
          <w:lang w:val="en-GB"/>
        </w:rPr>
        <w:t xml:space="preserve"> </w:t>
      </w:r>
      <w:sdt>
        <w:sdtPr>
          <w:rPr>
            <w:rFonts w:ascii="Times New Roman" w:hAnsi="Times New Roman" w:cs="Times New Roman"/>
            <w:lang w:val="en-GB"/>
          </w:rPr>
          <w:id w:val="-2053755202"/>
          <w:citation/>
        </w:sdtPr>
        <w:sdtContent>
          <w:r w:rsidR="00805616">
            <w:rPr>
              <w:rFonts w:ascii="Times New Roman" w:hAnsi="Times New Roman" w:cs="Times New Roman"/>
              <w:lang w:val="en-GB"/>
            </w:rPr>
            <w:fldChar w:fldCharType="begin"/>
          </w:r>
          <w:r w:rsidR="00805616" w:rsidRPr="00805616">
            <w:rPr>
              <w:rFonts w:ascii="Times New Roman" w:hAnsi="Times New Roman" w:cs="Times New Roman"/>
            </w:rPr>
            <w:instrText xml:space="preserve"> CITATION PNa15 \l 1040 </w:instrText>
          </w:r>
          <w:r w:rsidR="00805616">
            <w:rPr>
              <w:rFonts w:ascii="Times New Roman" w:hAnsi="Times New Roman" w:cs="Times New Roman"/>
              <w:lang w:val="en-GB"/>
            </w:rPr>
            <w:fldChar w:fldCharType="separate"/>
          </w:r>
          <w:r w:rsidR="004A1AA3" w:rsidRPr="004A1AA3">
            <w:rPr>
              <w:rFonts w:ascii="Times New Roman" w:hAnsi="Times New Roman" w:cs="Times New Roman"/>
              <w:noProof/>
            </w:rPr>
            <w:t>(1)</w:t>
          </w:r>
          <w:r w:rsidR="00805616">
            <w:rPr>
              <w:rFonts w:ascii="Times New Roman" w:hAnsi="Times New Roman" w:cs="Times New Roman"/>
              <w:lang w:val="en-GB"/>
            </w:rPr>
            <w:fldChar w:fldCharType="end"/>
          </w:r>
        </w:sdtContent>
      </w:sdt>
      <w:r w:rsidR="008363E0" w:rsidRPr="00805616">
        <w:rPr>
          <w:rFonts w:ascii="Times New Roman" w:hAnsi="Times New Roman" w:cs="Times New Roman"/>
          <w:lang w:val="en-GB"/>
        </w:rPr>
        <w:t xml:space="preserve"> with the study of T2 variation with temperature. T2 increases with temperature until a sudden drop, associated to the gel point, which is concentration dependent. The reversibility of the process, the formation of a metastable phase and the associated hysteresis phenomena can be observed, obtaining analogous results to rheological tests</w:t>
      </w:r>
      <w:r w:rsidR="005E7EF1">
        <w:rPr>
          <w:rFonts w:ascii="Times New Roman" w:hAnsi="Times New Roman" w:cs="Times New Roman"/>
          <w:lang w:val="en-GB"/>
        </w:rPr>
        <w:t xml:space="preserve"> (Fig.1a,1b).</w:t>
      </w:r>
      <w:r w:rsidR="008363E0" w:rsidRPr="005E7EF1">
        <w:rPr>
          <w:rFonts w:ascii="Times New Roman" w:hAnsi="Times New Roman" w:cs="Times New Roman"/>
          <w:lang w:val="en-GB"/>
        </w:rPr>
        <w:t xml:space="preserve"> </w:t>
      </w:r>
    </w:p>
    <w:p w:rsidR="008363E0" w:rsidRPr="00805616" w:rsidRDefault="008363E0" w:rsidP="00842A35">
      <w:pPr>
        <w:spacing w:after="0" w:line="240" w:lineRule="auto"/>
        <w:jc w:val="both"/>
        <w:rPr>
          <w:rFonts w:ascii="Times New Roman" w:eastAsiaTheme="minorEastAsia" w:hAnsi="Times New Roman" w:cs="Times New Roman"/>
          <w:lang w:val="en-GB"/>
        </w:rPr>
      </w:pPr>
      <w:r w:rsidRPr="00805616">
        <w:rPr>
          <w:rFonts w:ascii="Times New Roman" w:hAnsi="Times New Roman" w:cs="Times New Roman"/>
          <w:lang w:val="en-GB"/>
        </w:rPr>
        <w:t>TD-NMR can also measure residual dipolar couplings (</w:t>
      </w:r>
      <w:proofErr w:type="spellStart"/>
      <w:r w:rsidRPr="00805616">
        <w:rPr>
          <w:rFonts w:ascii="Times New Roman" w:hAnsi="Times New Roman" w:cs="Times New Roman"/>
          <w:lang w:val="en-GB"/>
        </w:rPr>
        <w:t>D</w:t>
      </w:r>
      <w:r w:rsidRPr="00805616">
        <w:rPr>
          <w:rFonts w:ascii="Times New Roman" w:hAnsi="Times New Roman" w:cs="Times New Roman"/>
          <w:vertAlign w:val="subscript"/>
          <w:lang w:val="en-GB"/>
        </w:rPr>
        <w:t>res</w:t>
      </w:r>
      <w:proofErr w:type="spellEnd"/>
      <w:r w:rsidRPr="00805616">
        <w:rPr>
          <w:rFonts w:ascii="Times New Roman" w:hAnsi="Times New Roman" w:cs="Times New Roman"/>
          <w:lang w:val="en-GB"/>
        </w:rPr>
        <w:t xml:space="preserve">), which are linearly proportional to the crosslinks density (CLD), according to the equation </w:t>
      </w:r>
      <m:oMath>
        <m:r>
          <w:rPr>
            <w:rFonts w:ascii="Cambria Math" w:hAnsi="Cambria Math" w:cs="Times New Roman"/>
            <w:lang w:val="en-GB"/>
          </w:rPr>
          <m:t>CLD=</m:t>
        </m:r>
        <m:f>
          <m:fPr>
            <m:ctrlPr>
              <w:rPr>
                <w:rFonts w:ascii="Cambria Math" w:hAnsi="Cambria Math" w:cs="Times New Roman"/>
                <w:i/>
                <w:lang w:val="en-GB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lang w:val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lang w:val="en-GB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lang w:val="en-GB"/>
                  </w:rPr>
                  <m:t>res</m:t>
                </m:r>
              </m:sub>
            </m:sSub>
          </m:num>
          <m:den>
            <m:r>
              <w:rPr>
                <w:rFonts w:ascii="Cambria Math" w:hAnsi="Cambria Math" w:cs="Times New Roman"/>
                <w:lang w:val="en-GB"/>
              </w:rPr>
              <m:t>4πA</m:t>
            </m:r>
          </m:den>
        </m:f>
      </m:oMath>
      <w:sdt>
        <w:sdtPr>
          <w:rPr>
            <w:rFonts w:ascii="Cambria Math" w:hAnsi="Cambria Math" w:cs="Times New Roman"/>
            <w:i/>
            <w:lang w:val="en-GB"/>
          </w:rPr>
          <w:id w:val="1787385655"/>
          <w:citation/>
        </w:sdtPr>
        <w:sdtContent>
          <m:oMath>
            <m:r>
              <w:rPr>
                <w:rFonts w:ascii="Cambria Math" w:hAnsi="Cambria Math" w:cs="Times New Roman"/>
                <w:i/>
                <w:lang w:val="en-GB"/>
              </w:rPr>
              <w:fldChar w:fldCharType="begin"/>
            </m:r>
          </m:oMath>
          <w:r w:rsidR="004A1AA3" w:rsidRPr="004A1AA3">
            <w:rPr>
              <w:rFonts w:ascii="Times New Roman" w:eastAsiaTheme="minorEastAsia" w:hAnsi="Times New Roman" w:cs="Times New Roman"/>
            </w:rPr>
            <w:instrText xml:space="preserve"> CITATION MKD15 \l 1040 </w:instrText>
          </w:r>
          <m:oMath>
            <m:r>
              <w:rPr>
                <w:rFonts w:ascii="Cambria Math" w:hAnsi="Cambria Math" w:cs="Times New Roman"/>
                <w:i/>
                <w:lang w:val="en-GB"/>
              </w:rPr>
              <w:fldChar w:fldCharType="separate"/>
            </m:r>
          </m:oMath>
          <w:r w:rsidR="004A1AA3" w:rsidRPr="004A1AA3">
            <w:rPr>
              <w:rFonts w:ascii="Times New Roman" w:eastAsiaTheme="minorEastAsia" w:hAnsi="Times New Roman" w:cs="Times New Roman"/>
              <w:noProof/>
            </w:rPr>
            <w:t xml:space="preserve"> (2)</w:t>
          </w:r>
          <m:oMath>
            <m:r>
              <w:rPr>
                <w:rFonts w:ascii="Cambria Math" w:hAnsi="Cambria Math" w:cs="Times New Roman"/>
                <w:i/>
                <w:lang w:val="en-GB"/>
              </w:rPr>
              <w:fldChar w:fldCharType="end"/>
            </m:r>
          </m:oMath>
        </w:sdtContent>
      </w:sdt>
      <w:r w:rsidRPr="00805616">
        <w:rPr>
          <w:rFonts w:ascii="Times New Roman" w:eastAsiaTheme="minorEastAsia" w:hAnsi="Times New Roman" w:cs="Times New Roman"/>
          <w:lang w:val="en-GB"/>
        </w:rPr>
        <w:t xml:space="preserve">. This has been applied to </w:t>
      </w:r>
      <w:r w:rsidR="00FA5E22" w:rsidRPr="00805616">
        <w:rPr>
          <w:rFonts w:ascii="Times New Roman" w:eastAsiaTheme="minorEastAsia" w:hAnsi="Times New Roman" w:cs="Times New Roman"/>
          <w:lang w:val="en-GB"/>
        </w:rPr>
        <w:t>evaluate</w:t>
      </w:r>
      <w:r w:rsidRPr="00805616">
        <w:rPr>
          <w:rFonts w:ascii="Times New Roman" w:eastAsiaTheme="minorEastAsia" w:hAnsi="Times New Roman" w:cs="Times New Roman"/>
          <w:lang w:val="en-GB"/>
        </w:rPr>
        <w:t xml:space="preserve"> the increasing number of crosslinks during the vulcanization process in a commercial rubber compound, </w:t>
      </w:r>
      <w:r w:rsidR="00FA5E22" w:rsidRPr="00805616">
        <w:rPr>
          <w:rFonts w:ascii="Times New Roman" w:eastAsiaTheme="minorEastAsia" w:hAnsi="Times New Roman" w:cs="Times New Roman"/>
          <w:lang w:val="en-GB"/>
        </w:rPr>
        <w:t>with the concurrent reduction in the number of uncoupled chains with progression of the curing</w:t>
      </w:r>
      <w:r w:rsidR="005E7EF1">
        <w:rPr>
          <w:rFonts w:ascii="Times New Roman" w:eastAsiaTheme="minorEastAsia" w:hAnsi="Times New Roman" w:cs="Times New Roman"/>
          <w:lang w:val="en-GB"/>
        </w:rPr>
        <w:t xml:space="preserve"> (Fig.1c)</w:t>
      </w:r>
      <w:r w:rsidR="00FA5E22" w:rsidRPr="00805616">
        <w:rPr>
          <w:rFonts w:ascii="Times New Roman" w:eastAsiaTheme="minorEastAsia" w:hAnsi="Times New Roman" w:cs="Times New Roman"/>
          <w:lang w:val="en-GB"/>
        </w:rPr>
        <w:t xml:space="preserve">. That reflected also on the more homogeneous distribution of crosslinks at end of the curing process. </w:t>
      </w:r>
    </w:p>
    <w:p w:rsidR="00FA5E22" w:rsidRDefault="00FA5E22" w:rsidP="00842A35">
      <w:pPr>
        <w:spacing w:after="0" w:line="240" w:lineRule="auto"/>
        <w:jc w:val="both"/>
        <w:rPr>
          <w:rFonts w:ascii="Times New Roman" w:eastAsiaTheme="minorEastAsia" w:hAnsi="Times New Roman" w:cs="Times New Roman"/>
          <w:lang w:val="en-GB"/>
        </w:rPr>
      </w:pPr>
      <w:r w:rsidRPr="00805616">
        <w:rPr>
          <w:rFonts w:ascii="Times New Roman" w:eastAsiaTheme="minorEastAsia" w:hAnsi="Times New Roman" w:cs="Times New Roman"/>
          <w:lang w:val="en-GB"/>
        </w:rPr>
        <w:t xml:space="preserve">Even the effect of </w:t>
      </w:r>
      <w:proofErr w:type="spellStart"/>
      <w:r w:rsidRPr="00805616">
        <w:rPr>
          <w:rFonts w:ascii="Times New Roman" w:eastAsiaTheme="minorEastAsia" w:hAnsi="Times New Roman" w:cs="Times New Roman"/>
          <w:lang w:val="en-GB"/>
        </w:rPr>
        <w:t>overcuring</w:t>
      </w:r>
      <w:proofErr w:type="spellEnd"/>
      <w:r w:rsidR="002F0120" w:rsidRPr="00805616">
        <w:rPr>
          <w:rFonts w:ascii="Times New Roman" w:eastAsiaTheme="minorEastAsia" w:hAnsi="Times New Roman" w:cs="Times New Roman"/>
          <w:lang w:val="en-GB"/>
        </w:rPr>
        <w:t xml:space="preserve"> at high temperatures</w:t>
      </w:r>
      <w:r w:rsidR="007B3C99">
        <w:rPr>
          <w:rFonts w:ascii="Times New Roman" w:eastAsiaTheme="minorEastAsia" w:hAnsi="Times New Roman" w:cs="Times New Roman"/>
          <w:lang w:val="en-GB"/>
        </w:rPr>
        <w:t xml:space="preserve"> in reversion conditions</w:t>
      </w:r>
      <w:r w:rsidRPr="00805616">
        <w:rPr>
          <w:rFonts w:ascii="Times New Roman" w:eastAsiaTheme="minorEastAsia" w:hAnsi="Times New Roman" w:cs="Times New Roman"/>
          <w:lang w:val="en-GB"/>
        </w:rPr>
        <w:t xml:space="preserve"> on network morphology </w:t>
      </w:r>
      <w:r w:rsidR="002F0120" w:rsidRPr="00805616">
        <w:rPr>
          <w:rFonts w:ascii="Times New Roman" w:eastAsiaTheme="minorEastAsia" w:hAnsi="Times New Roman" w:cs="Times New Roman"/>
          <w:lang w:val="en-GB"/>
        </w:rPr>
        <w:t>can be</w:t>
      </w:r>
      <w:r w:rsidRPr="00805616">
        <w:rPr>
          <w:rFonts w:ascii="Times New Roman" w:eastAsiaTheme="minorEastAsia" w:hAnsi="Times New Roman" w:cs="Times New Roman"/>
          <w:lang w:val="en-GB"/>
        </w:rPr>
        <w:t xml:space="preserve"> monitor</w:t>
      </w:r>
      <w:r w:rsidR="002F0120" w:rsidRPr="00805616">
        <w:rPr>
          <w:rFonts w:ascii="Times New Roman" w:eastAsiaTheme="minorEastAsia" w:hAnsi="Times New Roman" w:cs="Times New Roman"/>
          <w:lang w:val="en-GB"/>
        </w:rPr>
        <w:t>ed</w:t>
      </w:r>
      <w:r w:rsidR="005E7EF1">
        <w:rPr>
          <w:rFonts w:ascii="Times New Roman" w:eastAsiaTheme="minorEastAsia" w:hAnsi="Times New Roman" w:cs="Times New Roman"/>
          <w:lang w:val="en-GB"/>
        </w:rPr>
        <w:t xml:space="preserve"> (Fig.1d)</w:t>
      </w:r>
      <w:r w:rsidRPr="00805616">
        <w:rPr>
          <w:rFonts w:ascii="Times New Roman" w:eastAsiaTheme="minorEastAsia" w:hAnsi="Times New Roman" w:cs="Times New Roman"/>
          <w:lang w:val="en-GB"/>
        </w:rPr>
        <w:t xml:space="preserve">. </w:t>
      </w:r>
      <w:r w:rsidR="002F0120" w:rsidRPr="00805616">
        <w:rPr>
          <w:rFonts w:ascii="Times New Roman" w:eastAsiaTheme="minorEastAsia" w:hAnsi="Times New Roman" w:cs="Times New Roman"/>
          <w:lang w:val="en-GB"/>
        </w:rPr>
        <w:t xml:space="preserve">The </w:t>
      </w:r>
      <w:proofErr w:type="spellStart"/>
      <w:r w:rsidR="002F0120" w:rsidRPr="00805616">
        <w:rPr>
          <w:rFonts w:ascii="Times New Roman" w:eastAsiaTheme="minorEastAsia" w:hAnsi="Times New Roman" w:cs="Times New Roman"/>
          <w:lang w:val="en-GB"/>
        </w:rPr>
        <w:t>overcuring</w:t>
      </w:r>
      <w:proofErr w:type="spellEnd"/>
      <w:r w:rsidR="002F0120" w:rsidRPr="00805616">
        <w:rPr>
          <w:rFonts w:ascii="Times New Roman" w:eastAsiaTheme="minorEastAsia" w:hAnsi="Times New Roman" w:cs="Times New Roman"/>
          <w:lang w:val="en-GB"/>
        </w:rPr>
        <w:t xml:space="preserve"> induces a drastic change in the morphology with a relevant, but homogeneous, reduction in the CLD respect to the highest CLD accessible at that temperature. </w:t>
      </w:r>
      <w:r w:rsidR="00D82B82" w:rsidRPr="00805616">
        <w:rPr>
          <w:rFonts w:ascii="Times New Roman" w:eastAsiaTheme="minorEastAsia" w:hAnsi="Times New Roman" w:cs="Times New Roman"/>
          <w:lang w:val="en-GB"/>
        </w:rPr>
        <w:t xml:space="preserve">Moreover, a peak at even higher </w:t>
      </w:r>
      <w:proofErr w:type="spellStart"/>
      <w:r w:rsidR="00D82B82" w:rsidRPr="00805616">
        <w:rPr>
          <w:rFonts w:ascii="Times New Roman" w:eastAsiaTheme="minorEastAsia" w:hAnsi="Times New Roman" w:cs="Times New Roman"/>
          <w:lang w:val="en-GB"/>
        </w:rPr>
        <w:t>Dres</w:t>
      </w:r>
      <w:proofErr w:type="spellEnd"/>
      <w:r w:rsidR="00D82B82" w:rsidRPr="00805616">
        <w:rPr>
          <w:rFonts w:ascii="Times New Roman" w:eastAsiaTheme="minorEastAsia" w:hAnsi="Times New Roman" w:cs="Times New Roman"/>
          <w:lang w:val="en-GB"/>
        </w:rPr>
        <w:t xml:space="preserve"> appears for the </w:t>
      </w:r>
      <w:proofErr w:type="spellStart"/>
      <w:r w:rsidR="00D82B82" w:rsidRPr="00805616">
        <w:rPr>
          <w:rFonts w:ascii="Times New Roman" w:eastAsiaTheme="minorEastAsia" w:hAnsi="Times New Roman" w:cs="Times New Roman"/>
          <w:lang w:val="en-GB"/>
        </w:rPr>
        <w:t>overcured</w:t>
      </w:r>
      <w:proofErr w:type="spellEnd"/>
      <w:r w:rsidR="00D82B82" w:rsidRPr="00805616">
        <w:rPr>
          <w:rFonts w:ascii="Times New Roman" w:eastAsiaTheme="minorEastAsia" w:hAnsi="Times New Roman" w:cs="Times New Roman"/>
          <w:lang w:val="en-GB"/>
        </w:rPr>
        <w:t xml:space="preserve"> sample</w:t>
      </w:r>
      <w:r w:rsidR="00815AF2" w:rsidRPr="00805616">
        <w:rPr>
          <w:rFonts w:ascii="Times New Roman" w:eastAsiaTheme="minorEastAsia" w:hAnsi="Times New Roman" w:cs="Times New Roman"/>
          <w:lang w:val="en-GB"/>
        </w:rPr>
        <w:t>, indicating the formation of a much more inhomogeneous networ</w:t>
      </w:r>
      <w:r w:rsidR="00D94E18" w:rsidRPr="00805616">
        <w:rPr>
          <w:rFonts w:ascii="Times New Roman" w:eastAsiaTheme="minorEastAsia" w:hAnsi="Times New Roman" w:cs="Times New Roman"/>
          <w:lang w:val="en-GB"/>
        </w:rPr>
        <w:t xml:space="preserve">k, whose causes could be attributed either to the formation of clusters of </w:t>
      </w:r>
      <w:proofErr w:type="spellStart"/>
      <w:r w:rsidR="00D94E18" w:rsidRPr="00805616">
        <w:rPr>
          <w:rFonts w:ascii="Times New Roman" w:eastAsiaTheme="minorEastAsia" w:hAnsi="Times New Roman" w:cs="Times New Roman"/>
          <w:lang w:val="en-GB"/>
        </w:rPr>
        <w:t>monosulfidic</w:t>
      </w:r>
      <w:proofErr w:type="spellEnd"/>
      <w:r w:rsidR="00D94E18" w:rsidRPr="00805616">
        <w:rPr>
          <w:rFonts w:ascii="Times New Roman" w:eastAsiaTheme="minorEastAsia" w:hAnsi="Times New Roman" w:cs="Times New Roman"/>
          <w:lang w:val="en-GB"/>
        </w:rPr>
        <w:t xml:space="preserve"> bonds or to the </w:t>
      </w:r>
      <w:r w:rsidR="00D94E18" w:rsidRPr="004A1AA3">
        <w:rPr>
          <w:rFonts w:ascii="Times New Roman" w:eastAsiaTheme="minorEastAsia" w:hAnsi="Times New Roman" w:cs="Times New Roman"/>
          <w:lang w:val="en-GB"/>
        </w:rPr>
        <w:t xml:space="preserve">association of freed chains to the surface of </w:t>
      </w:r>
      <w:r w:rsidR="00900432" w:rsidRPr="004A1AA3">
        <w:rPr>
          <w:rFonts w:ascii="Times New Roman" w:eastAsiaTheme="minorEastAsia" w:hAnsi="Times New Roman" w:cs="Times New Roman"/>
          <w:lang w:val="en-GB"/>
        </w:rPr>
        <w:t>filler particles.</w:t>
      </w:r>
    </w:p>
    <w:bookmarkEnd w:id="0"/>
    <w:p w:rsidR="00842A35" w:rsidRPr="004A1AA3" w:rsidRDefault="00D32627" w:rsidP="00815AF2">
      <w:pPr>
        <w:spacing w:after="0"/>
        <w:jc w:val="both"/>
        <w:rPr>
          <w:rFonts w:ascii="Times New Roman" w:eastAsiaTheme="minorEastAsia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4896" behindDoc="0" locked="0" layoutInCell="1" allowOverlap="1">
            <wp:simplePos x="0" y="0"/>
            <wp:positionH relativeFrom="margin">
              <wp:posOffset>38100</wp:posOffset>
            </wp:positionH>
            <wp:positionV relativeFrom="margin">
              <wp:posOffset>4305300</wp:posOffset>
            </wp:positionV>
            <wp:extent cx="4819650" cy="3084195"/>
            <wp:effectExtent l="0" t="0" r="0" b="1905"/>
            <wp:wrapSquare wrapText="bothSides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bstract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3084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E7EF1" w:rsidRDefault="005E7EF1" w:rsidP="00815A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EF1" w:rsidRDefault="00D32627" w:rsidP="00815A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  <w:r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26E0630F" wp14:editId="0945007B">
                <wp:simplePos x="0" y="0"/>
                <wp:positionH relativeFrom="column">
                  <wp:posOffset>-47625</wp:posOffset>
                </wp:positionH>
                <wp:positionV relativeFrom="paragraph">
                  <wp:posOffset>295910</wp:posOffset>
                </wp:positionV>
                <wp:extent cx="1028700" cy="635"/>
                <wp:effectExtent l="0" t="0" r="0" b="635"/>
                <wp:wrapSquare wrapText="bothSides"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5E7EF1" w:rsidRPr="005E7EF1" w:rsidRDefault="00842A35" w:rsidP="005E7EF1">
                            <w:pPr>
                              <w:pStyle w:val="Didascalia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i w:val="0"/>
                                <w:color w:val="auto"/>
                              </w:rPr>
                            </w:pPr>
                            <w:bookmarkStart w:id="2" w:name="_Ref536117457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Figure 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fldChar w:fldCharType="begin"/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instrText xml:space="preserve"> SEQ Figure \* ARABIC </w:instrTex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fldChar w:fldCharType="separate"/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noProof/>
                                <w:color w:val="auto"/>
                              </w:rPr>
                              <w:t>1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fldChar w:fldCharType="end"/>
                            </w:r>
                            <w:bookmarkEnd w:id="2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. 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b/>
                                <w:i w:val="0"/>
                                <w:color w:val="auto"/>
                              </w:rPr>
                              <w:t>a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>) T2 relaxation time of MC during a temperature cycle (from 10°C to 75°C and back),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b/>
                                <w:i w:val="0"/>
                                <w:color w:val="auto"/>
                              </w:rPr>
                              <w:t xml:space="preserve"> </w:t>
                            </w:r>
                          </w:p>
                          <w:p w:rsidR="005E7EF1" w:rsidRPr="005E7EF1" w:rsidRDefault="00842A35" w:rsidP="005E7EF1">
                            <w:pPr>
                              <w:pStyle w:val="Didascalia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</w:pPr>
                            <w:r w:rsidRPr="005E7EF1">
                              <w:rPr>
                                <w:rFonts w:ascii="Times New Roman" w:hAnsi="Times New Roman" w:cs="Times New Roman"/>
                                <w:b/>
                                <w:i w:val="0"/>
                                <w:color w:val="auto"/>
                              </w:rPr>
                              <w:t>b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>) MC gelation for sample with different concentration with shift of gel points,</w:t>
                            </w:r>
                          </w:p>
                          <w:p w:rsidR="005E7EF1" w:rsidRPr="005E7EF1" w:rsidRDefault="00842A35" w:rsidP="005E7EF1">
                            <w:pPr>
                              <w:pStyle w:val="Didascalia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</w:pP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 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b/>
                                <w:i w:val="0"/>
                                <w:color w:val="auto"/>
                              </w:rPr>
                              <w:t>c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) increasing of </w:t>
                            </w:r>
                            <w:proofErr w:type="spellStart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>Dres</w:t>
                            </w:r>
                            <w:proofErr w:type="spellEnd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 and decreasing of % of network defects at longer curing time,</w:t>
                            </w:r>
                          </w:p>
                          <w:p w:rsidR="00842A35" w:rsidRPr="005E7EF1" w:rsidRDefault="00842A35" w:rsidP="005E7EF1">
                            <w:pPr>
                              <w:pStyle w:val="Didascalia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i w:val="0"/>
                              </w:rPr>
                            </w:pP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 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b/>
                                <w:i w:val="0"/>
                                <w:color w:val="auto"/>
                              </w:rPr>
                              <w:t>d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) </w:t>
                            </w:r>
                            <w:proofErr w:type="spellStart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>Dres</w:t>
                            </w:r>
                            <w:proofErr w:type="spellEnd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 distribution of </w:t>
                            </w:r>
                            <w:proofErr w:type="spellStart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>undercured</w:t>
                            </w:r>
                            <w:proofErr w:type="spellEnd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, cured at t90 and </w:t>
                            </w:r>
                            <w:proofErr w:type="spellStart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>overcured</w:t>
                            </w:r>
                            <w:proofErr w:type="spellEnd"/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  <w:color w:val="auto"/>
                              </w:rPr>
                              <w:t xml:space="preserve"> samples at 190°C</w:t>
                            </w:r>
                            <w:r w:rsidRPr="005E7EF1">
                              <w:rPr>
                                <w:rFonts w:ascii="Times New Roman" w:hAnsi="Times New Roman" w:cs="Times New Roman"/>
                                <w:i w:val="0"/>
                              </w:rPr>
                              <w:t xml:space="preserve">.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6E0630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-3.75pt;margin-top:23.3pt;width:81pt;height:.05pt;z-index:2516904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" stroked="f">
                <v:textbox style="mso-fit-shape-to-text:t" inset="0,0,0,0">
                  <w:txbxContent>
                    <w:p w:rsidR="005E7EF1" w:rsidRPr="005E7EF1" w:rsidRDefault="00842A35" w:rsidP="005E7EF1">
                      <w:pPr>
                        <w:pStyle w:val="Didascalia"/>
                        <w:spacing w:after="0"/>
                        <w:jc w:val="both"/>
                        <w:rPr>
                          <w:rFonts w:ascii="Times New Roman" w:hAnsi="Times New Roman" w:cs="Times New Roman"/>
                          <w:b/>
                          <w:i w:val="0"/>
                          <w:color w:val="auto"/>
                        </w:rPr>
                      </w:pPr>
                      <w:bookmarkStart w:id="3" w:name="_Ref536117457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Figure </w: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fldChar w:fldCharType="begin"/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instrText xml:space="preserve"> SEQ Figure \* ARABIC </w:instrTex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fldChar w:fldCharType="separate"/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noProof/>
                          <w:color w:val="auto"/>
                        </w:rPr>
                        <w:t>1</w: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fldChar w:fldCharType="end"/>
                      </w:r>
                      <w:bookmarkEnd w:id="3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. </w:t>
                      </w:r>
                      <w:r w:rsidRPr="005E7EF1">
                        <w:rPr>
                          <w:rFonts w:ascii="Times New Roman" w:hAnsi="Times New Roman" w:cs="Times New Roman"/>
                          <w:b/>
                          <w:i w:val="0"/>
                          <w:color w:val="auto"/>
                        </w:rPr>
                        <w:t>a</w: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>) T2 relaxation time of MC during a temperature cycle (from 10°C to 75°C and back),</w:t>
                      </w:r>
                      <w:r w:rsidRPr="005E7EF1">
                        <w:rPr>
                          <w:rFonts w:ascii="Times New Roman" w:hAnsi="Times New Roman" w:cs="Times New Roman"/>
                          <w:b/>
                          <w:i w:val="0"/>
                          <w:color w:val="auto"/>
                        </w:rPr>
                        <w:t xml:space="preserve"> </w:t>
                      </w:r>
                    </w:p>
                    <w:p w:rsidR="005E7EF1" w:rsidRPr="005E7EF1" w:rsidRDefault="00842A35" w:rsidP="005E7EF1">
                      <w:pPr>
                        <w:pStyle w:val="Didascalia"/>
                        <w:spacing w:after="0"/>
                        <w:jc w:val="both"/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</w:pPr>
                      <w:r w:rsidRPr="005E7EF1">
                        <w:rPr>
                          <w:rFonts w:ascii="Times New Roman" w:hAnsi="Times New Roman" w:cs="Times New Roman"/>
                          <w:b/>
                          <w:i w:val="0"/>
                          <w:color w:val="auto"/>
                        </w:rPr>
                        <w:t>b</w: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>) MC gelation for sample with different concentration with shift of gel points,</w:t>
                      </w:r>
                    </w:p>
                    <w:p w:rsidR="005E7EF1" w:rsidRPr="005E7EF1" w:rsidRDefault="00842A35" w:rsidP="005E7EF1">
                      <w:pPr>
                        <w:pStyle w:val="Didascalia"/>
                        <w:spacing w:after="0"/>
                        <w:jc w:val="both"/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</w:pP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 </w:t>
                      </w:r>
                      <w:r w:rsidRPr="005E7EF1">
                        <w:rPr>
                          <w:rFonts w:ascii="Times New Roman" w:hAnsi="Times New Roman" w:cs="Times New Roman"/>
                          <w:b/>
                          <w:i w:val="0"/>
                          <w:color w:val="auto"/>
                        </w:rPr>
                        <w:t>c</w: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) increasing of </w:t>
                      </w:r>
                      <w:proofErr w:type="spellStart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>Dres</w:t>
                      </w:r>
                      <w:proofErr w:type="spellEnd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 and decreasing of % of network defects at longer curing time,</w:t>
                      </w:r>
                    </w:p>
                    <w:p w:rsidR="00842A35" w:rsidRPr="005E7EF1" w:rsidRDefault="00842A35" w:rsidP="005E7EF1">
                      <w:pPr>
                        <w:pStyle w:val="Didascalia"/>
                        <w:spacing w:after="0"/>
                        <w:jc w:val="both"/>
                        <w:rPr>
                          <w:rFonts w:ascii="Times New Roman" w:hAnsi="Times New Roman" w:cs="Times New Roman"/>
                          <w:i w:val="0"/>
                        </w:rPr>
                      </w:pP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 </w:t>
                      </w:r>
                      <w:r w:rsidRPr="005E7EF1">
                        <w:rPr>
                          <w:rFonts w:ascii="Times New Roman" w:hAnsi="Times New Roman" w:cs="Times New Roman"/>
                          <w:b/>
                          <w:i w:val="0"/>
                          <w:color w:val="auto"/>
                        </w:rPr>
                        <w:t>d</w: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) </w:t>
                      </w:r>
                      <w:proofErr w:type="spellStart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>Dres</w:t>
                      </w:r>
                      <w:proofErr w:type="spellEnd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 distribution of </w:t>
                      </w:r>
                      <w:proofErr w:type="spellStart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>undercured</w:t>
                      </w:r>
                      <w:proofErr w:type="spellEnd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, cured at t90 and </w:t>
                      </w:r>
                      <w:proofErr w:type="spellStart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>overcured</w:t>
                      </w:r>
                      <w:proofErr w:type="spellEnd"/>
                      <w:r w:rsidRPr="005E7EF1">
                        <w:rPr>
                          <w:rFonts w:ascii="Times New Roman" w:hAnsi="Times New Roman" w:cs="Times New Roman"/>
                          <w:i w:val="0"/>
                          <w:color w:val="auto"/>
                        </w:rPr>
                        <w:t xml:space="preserve"> samples at 190°C</w:t>
                      </w:r>
                      <w:r w:rsidRPr="005E7EF1">
                        <w:rPr>
                          <w:rFonts w:ascii="Times New Roman" w:hAnsi="Times New Roman" w:cs="Times New Roman"/>
                          <w:i w:val="0"/>
                        </w:rPr>
                        <w:t xml:space="preserve">.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5E7EF1" w:rsidRDefault="005E7EF1" w:rsidP="00815A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32627" w:rsidRPr="008363E0" w:rsidRDefault="00D32627" w:rsidP="00815A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dt>
      <w:sdtPr>
        <w:rPr>
          <w:sz w:val="22"/>
          <w:szCs w:val="22"/>
        </w:rPr>
        <w:id w:val="-1110127556"/>
        <w:docPartObj>
          <w:docPartGallery w:val="Bibliographies"/>
          <w:docPartUnique/>
        </w:docPartObj>
      </w:sdtPr>
      <w:sdtEndPr>
        <w:rPr>
          <w:rFonts w:asciiTheme="minorHAnsi" w:eastAsiaTheme="minorHAnsi" w:hAnsiTheme="minorHAnsi" w:cstheme="minorBidi"/>
          <w:color w:val="auto"/>
          <w:lang w:val="en-US" w:eastAsia="en-US"/>
        </w:rPr>
      </w:sdtEndPr>
      <w:sdtContent>
        <w:p w:rsidR="00842A35" w:rsidRPr="004A1AA3" w:rsidRDefault="00842A35" w:rsidP="005E7EF1">
          <w:pPr>
            <w:pStyle w:val="Titolo1"/>
            <w:spacing w:before="0" w:line="240" w:lineRule="auto"/>
            <w:rPr>
              <w:rFonts w:ascii="Times New Roman" w:hAnsi="Times New Roman" w:cs="Times New Roman"/>
              <w:color w:val="auto"/>
              <w:sz w:val="22"/>
              <w:szCs w:val="22"/>
              <w:lang w:val="en-US"/>
            </w:rPr>
          </w:pPr>
          <w:proofErr w:type="spellStart"/>
          <w:r w:rsidRPr="004A1AA3">
            <w:rPr>
              <w:rFonts w:ascii="Times New Roman" w:hAnsi="Times New Roman" w:cs="Times New Roman"/>
              <w:color w:val="auto"/>
              <w:sz w:val="22"/>
              <w:szCs w:val="22"/>
              <w:lang w:val="en-US"/>
            </w:rPr>
            <w:t>Bibliografia</w:t>
          </w:r>
          <w:proofErr w:type="spellEnd"/>
        </w:p>
        <w:bookmarkStart w:id="4" w:name="_Hlk536118240" w:displacedByCustomXml="next"/>
        <w:sdt>
          <w:sdtPr>
            <w:rPr>
              <w:rFonts w:ascii="Times New Roman" w:hAnsi="Times New Roman" w:cs="Times New Roman"/>
            </w:rPr>
            <w:id w:val="111145805"/>
            <w:bibliography/>
          </w:sdtPr>
          <w:sdtContent>
            <w:p w:rsidR="00842A35" w:rsidRPr="00842A35" w:rsidRDefault="00842A35" w:rsidP="005E7EF1">
              <w:pPr>
                <w:pStyle w:val="Bibliografia"/>
                <w:spacing w:after="0" w:line="240" w:lineRule="auto"/>
                <w:rPr>
                  <w:rFonts w:ascii="Times New Roman" w:hAnsi="Times New Roman" w:cs="Times New Roman"/>
                  <w:noProof/>
                </w:rPr>
              </w:pPr>
              <w:r w:rsidRPr="004A1AA3">
                <w:rPr>
                  <w:rFonts w:ascii="Times New Roman" w:hAnsi="Times New Roman" w:cs="Times New Roman"/>
                </w:rPr>
                <w:fldChar w:fldCharType="begin"/>
              </w:r>
              <w:r w:rsidRPr="00D32627">
                <w:rPr>
                  <w:rFonts w:ascii="Times New Roman" w:hAnsi="Times New Roman" w:cs="Times New Roman"/>
                </w:rPr>
                <w:instrText>BIBLIOGRAPHY</w:instrText>
              </w:r>
              <w:r w:rsidRPr="004A1AA3">
                <w:rPr>
                  <w:rFonts w:ascii="Times New Roman" w:hAnsi="Times New Roman" w:cs="Times New Roman"/>
                </w:rPr>
                <w:fldChar w:fldCharType="separate"/>
              </w:r>
              <w:r w:rsidRPr="004A1AA3">
                <w:rPr>
                  <w:rFonts w:ascii="Times New Roman" w:hAnsi="Times New Roman" w:cs="Times New Roman"/>
                  <w:noProof/>
                </w:rPr>
                <w:t xml:space="preserve">1. </w:t>
              </w:r>
              <w:r w:rsidRPr="00842A35">
                <w:rPr>
                  <w:rFonts w:ascii="Times New Roman" w:hAnsi="Times New Roman" w:cs="Times New Roman"/>
                  <w:bCs/>
                  <w:noProof/>
                </w:rPr>
                <w:t>P. Nasatto, F.Pignom, J.SIlveira, M.Duarte, M.Rinaudo</w:t>
              </w:r>
              <w:r>
                <w:rPr>
                  <w:rFonts w:ascii="Times New Roman" w:hAnsi="Times New Roman" w:cs="Times New Roman"/>
                  <w:i/>
                  <w:iCs/>
                  <w:noProof/>
                </w:rPr>
                <w:t xml:space="preserve">, </w:t>
              </w:r>
              <w:r w:rsidRPr="004A1AA3">
                <w:rPr>
                  <w:rFonts w:ascii="Times New Roman" w:hAnsi="Times New Roman" w:cs="Times New Roman"/>
                  <w:i/>
                  <w:iCs/>
                  <w:noProof/>
                </w:rPr>
                <w:t>Methylcellulose, a cellulose derivative with original physical properties and extended applications.</w:t>
              </w:r>
              <w:r>
                <w:rPr>
                  <w:rFonts w:ascii="Times New Roman" w:hAnsi="Times New Roman" w:cs="Times New Roman"/>
                  <w:noProof/>
                </w:rPr>
                <w:t xml:space="preserve"> </w:t>
              </w:r>
              <w:r w:rsidRPr="00842A35">
                <w:rPr>
                  <w:rFonts w:ascii="Times New Roman" w:hAnsi="Times New Roman" w:cs="Times New Roman"/>
                  <w:noProof/>
                </w:rPr>
                <w:t>Polymers. (2015)</w:t>
              </w:r>
            </w:p>
            <w:p w:rsidR="00842A35" w:rsidRPr="004A1AA3" w:rsidRDefault="00842A35" w:rsidP="005E7EF1">
              <w:pPr>
                <w:pStyle w:val="Bibliografia"/>
                <w:spacing w:after="0" w:line="240" w:lineRule="auto"/>
                <w:rPr>
                  <w:rFonts w:ascii="Times New Roman" w:hAnsi="Times New Roman" w:cs="Times New Roman"/>
                  <w:noProof/>
                </w:rPr>
              </w:pPr>
              <w:r w:rsidRPr="004A1AA3">
                <w:rPr>
                  <w:rFonts w:ascii="Times New Roman" w:hAnsi="Times New Roman" w:cs="Times New Roman"/>
                  <w:noProof/>
                </w:rPr>
                <w:t xml:space="preserve">2. </w:t>
              </w:r>
              <w:r w:rsidRPr="00842A35">
                <w:rPr>
                  <w:rFonts w:ascii="Times New Roman" w:hAnsi="Times New Roman" w:cs="Times New Roman"/>
                  <w:bCs/>
                  <w:noProof/>
                </w:rPr>
                <w:t>M. K. Dibbanti, M.Mauri, L. Mauri, G. Medaglia, R. Simonutti</w:t>
              </w:r>
              <w:r>
                <w:rPr>
                  <w:rFonts w:ascii="Times New Roman" w:hAnsi="Times New Roman" w:cs="Times New Roman"/>
                  <w:i/>
                  <w:iCs/>
                  <w:noProof/>
                </w:rPr>
                <w:t xml:space="preserve">, </w:t>
              </w:r>
              <w:r w:rsidRPr="004A1AA3">
                <w:rPr>
                  <w:rFonts w:ascii="Times New Roman" w:hAnsi="Times New Roman" w:cs="Times New Roman"/>
                  <w:i/>
                  <w:iCs/>
                  <w:noProof/>
                </w:rPr>
                <w:t>Probing small network differences in sufur-cured rubber compounds by combining nuclear magnetic resonance and swelling methods.</w:t>
              </w:r>
              <w:r w:rsidRPr="00842A35">
                <w:rPr>
                  <w:rFonts w:ascii="Times New Roman" w:hAnsi="Times New Roman" w:cs="Times New Roman"/>
                  <w:noProof/>
                </w:rPr>
                <w:t xml:space="preserve"> </w:t>
              </w:r>
              <w:r w:rsidRPr="004A1AA3">
                <w:rPr>
                  <w:rFonts w:ascii="Times New Roman" w:hAnsi="Times New Roman" w:cs="Times New Roman"/>
                  <w:noProof/>
                </w:rPr>
                <w:t>Journal of Applied Polymer Science.</w:t>
              </w:r>
              <w:r>
                <w:rPr>
                  <w:rFonts w:ascii="Times New Roman" w:hAnsi="Times New Roman" w:cs="Times New Roman"/>
                  <w:noProof/>
                </w:rPr>
                <w:t xml:space="preserve"> (</w:t>
              </w:r>
              <w:r w:rsidRPr="004A1AA3">
                <w:rPr>
                  <w:rFonts w:ascii="Times New Roman" w:hAnsi="Times New Roman" w:cs="Times New Roman"/>
                  <w:noProof/>
                </w:rPr>
                <w:t>2015</w:t>
              </w:r>
              <w:r>
                <w:rPr>
                  <w:rFonts w:ascii="Times New Roman" w:hAnsi="Times New Roman" w:cs="Times New Roman"/>
                  <w:noProof/>
                </w:rPr>
                <w:t>)</w:t>
              </w:r>
            </w:p>
            <w:p w:rsidR="006950A3" w:rsidRPr="007B3C99" w:rsidRDefault="00842A35" w:rsidP="005E7EF1">
              <w:pPr>
                <w:spacing w:after="0" w:line="240" w:lineRule="auto"/>
              </w:pPr>
              <w:r w:rsidRPr="004A1AA3">
                <w:rPr>
                  <w:rFonts w:ascii="Times New Roman" w:hAnsi="Times New Roman" w:cs="Times New Roman"/>
                  <w:b/>
                  <w:bCs/>
                </w:rPr>
                <w:lastRenderedPageBreak/>
                <w:fldChar w:fldCharType="end"/>
              </w:r>
            </w:p>
          </w:sdtContent>
        </w:sdt>
        <w:bookmarkEnd w:id="4" w:displacedByCustomXml="next"/>
      </w:sdtContent>
    </w:sdt>
    <w:sectPr w:rsidR="006950A3" w:rsidRPr="007B3C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A3"/>
    <w:rsid w:val="00020866"/>
    <w:rsid w:val="000671CB"/>
    <w:rsid w:val="0010248E"/>
    <w:rsid w:val="001677D9"/>
    <w:rsid w:val="00176A19"/>
    <w:rsid w:val="001A072B"/>
    <w:rsid w:val="001B4336"/>
    <w:rsid w:val="00201DDB"/>
    <w:rsid w:val="002A0912"/>
    <w:rsid w:val="002F0120"/>
    <w:rsid w:val="0034167F"/>
    <w:rsid w:val="004242F0"/>
    <w:rsid w:val="004A1AA3"/>
    <w:rsid w:val="004C4745"/>
    <w:rsid w:val="00525A78"/>
    <w:rsid w:val="00583AC8"/>
    <w:rsid w:val="005E1E4F"/>
    <w:rsid w:val="005E7EF1"/>
    <w:rsid w:val="006139CF"/>
    <w:rsid w:val="00656199"/>
    <w:rsid w:val="006950A3"/>
    <w:rsid w:val="00706726"/>
    <w:rsid w:val="00733F15"/>
    <w:rsid w:val="0075799D"/>
    <w:rsid w:val="007B3C99"/>
    <w:rsid w:val="007F05F4"/>
    <w:rsid w:val="00805616"/>
    <w:rsid w:val="00815AF2"/>
    <w:rsid w:val="008363E0"/>
    <w:rsid w:val="00842A35"/>
    <w:rsid w:val="00900432"/>
    <w:rsid w:val="0092406F"/>
    <w:rsid w:val="00BA6E33"/>
    <w:rsid w:val="00BE2640"/>
    <w:rsid w:val="00C502F1"/>
    <w:rsid w:val="00D15198"/>
    <w:rsid w:val="00D32627"/>
    <w:rsid w:val="00D82B82"/>
    <w:rsid w:val="00D83F62"/>
    <w:rsid w:val="00D94E18"/>
    <w:rsid w:val="00FA5E22"/>
    <w:rsid w:val="00FE6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A7A8E"/>
  <w15:docId w15:val="{6D6335D2-661A-4F5F-A7F9-D9D6277A8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A1AA3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8363E0"/>
    <w:rPr>
      <w:color w:val="80808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A1AA3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it-IT" w:eastAsia="it-IT"/>
    </w:rPr>
  </w:style>
  <w:style w:type="paragraph" w:styleId="Bibliografia">
    <w:name w:val="Bibliography"/>
    <w:basedOn w:val="Normale"/>
    <w:next w:val="Normale"/>
    <w:uiPriority w:val="37"/>
    <w:unhideWhenUsed/>
    <w:rsid w:val="004A1AA3"/>
  </w:style>
  <w:style w:type="paragraph" w:styleId="Didascalia">
    <w:name w:val="caption"/>
    <w:basedOn w:val="Normale"/>
    <w:next w:val="Normale"/>
    <w:uiPriority w:val="35"/>
    <w:unhideWhenUsed/>
    <w:qFormat/>
    <w:rsid w:val="00842A35"/>
    <w:pPr>
      <w:spacing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950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1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Riferimento numerico" Version="1987">
  <b:Source>
    <b:Tag>PNa15</b:Tag>
    <b:SourceType>JournalArticle</b:SourceType>
    <b:Guid>{7B5811B8-0654-4C3A-AD02-0EC3F5664F88}</b:Guid>
    <b:Title>Methylcellulose, a cellulose derivative with original physical properties and extended applications</b:Title>
    <b:Year>2015</b:Year>
    <b:Author>
      <b:Author>
        <b:NameList>
          <b:Person>
            <b:Last>P. Nasatto</b:Last>
            <b:First>F.Pignom,</b:First>
            <b:Middle>J.SIlveira, M.Duarte, M.Rinaudo</b:Middle>
          </b:Person>
        </b:NameList>
      </b:Author>
    </b:Author>
    <b:JournalName>Polymers</b:JournalName>
    <b:RefOrder>1</b:RefOrder>
  </b:Source>
  <b:Source>
    <b:Tag>MKD15</b:Tag>
    <b:SourceType>JournalArticle</b:SourceType>
    <b:Guid>{D875CF88-3F3F-4ACD-A9C6-1D3642D9F8E7}</b:Guid>
    <b:Author>
      <b:Author>
        <b:NameList>
          <b:Person>
            <b:Last>M. K. Dibbanti</b:Last>
            <b:First>M.Mauri,</b:First>
            <b:Middle>L. Mauri, G. Medaglia, R. Simonutti</b:Middle>
          </b:Person>
        </b:NameList>
      </b:Author>
    </b:Author>
    <b:Title>Probing small network differences in sufur-cured rubber compounds by combining nuclear magnetic resonance and swelling methods</b:Title>
    <b:Year>2015</b:Year>
    <b:JournalName>Journal of Applied Polymer Science</b:JournalName>
    <b:RefOrder>2</b:RefOrder>
  </b:Source>
  <b:Source>
    <b:Tag>SAA12</b:Tag>
    <b:SourceType>ArticleInAPeriodical</b:SourceType>
    <b:Guid>{8896333F-02BD-40E4-A1F1-C3EF769EA6BE}</b:Guid>
    <b:Author>
      <b:Author>
        <b:NameList>
          <b:Person>
            <b:Last>SAALWACHTER</b:Last>
            <b:First>KAY</b:First>
          </b:Person>
        </b:NameList>
      </b:Author>
    </b:Author>
    <b:Title>MICROSTRUCTURE AND MOLECULAR DYNAMICS OF ELASTOMERS AS STUDIED BYADVANCED LOW-RESOLUTION NUCLEAR MAGNETIC RESONANCE METHODS</b:Title>
    <b:PeriodicalTitle>RUBBER CHEMISTRY AND TECHNOLOGY</b:PeriodicalTitle>
    <b:Year>2012</b:Year>
    <b:Volume>85</b:Volume>
    <b:Issue>3</b:Issue>
    <b:RefOrder>1</b:RefOrder>
  </b:Source>
  <b:Source>
    <b:Tag>Mur15</b:Tag>
    <b:SourceType>ArticleInAPeriodical</b:SourceType>
    <b:Guid>{771352F8-73DC-43CC-88F1-4175D11FF879}</b:Guid>
    <b:Author>
      <b:Author>
        <b:NameList>
          <b:Person>
            <b:Last>Murali Krishna Dibbanti</b:Last>
            <b:First>Michele</b:First>
            <b:Middle>Mauri, Lucio Mauri, Gabriele Medaglia, Roberto Simonutti</b:Middle>
          </b:Person>
        </b:NameList>
      </b:Author>
    </b:Author>
    <b:Title>Probing small network differences in sulfur-cured rubber compounds by combining nuclear magnetic resonance and swelling methods</b:Title>
    <b:Year>2015</b:Year>
    <b:PeriodicalTitle>J. APPL. POLYM. SCI.</b:PeriodicalTitle>
    <b:RefOrder>3</b:RefOrder>
  </b:Source>
  <b:Source>
    <b:Tag>Pau15</b:Tag>
    <b:SourceType>ArticleInAPeriodical</b:SourceType>
    <b:Guid>{6FCB7C91-6180-4DDE-B2DC-A182DAB0A947}</b:Guid>
    <b:Title>Methylcellulose, a Cellulose Derivative with Original Physical Properties and Extended Applications</b:Title>
    <b:Year>2015</b:Year>
    <b:Author>
      <b:Author>
        <b:NameList>
          <b:Person>
            <b:Last>Pauline L. Nasatto 1</b:Last>
            <b:First>2,*,</b:First>
            <b:Middle>Frédéric Pignon 2,3, Joana L. M. Silveira 1, Maria Eugênia R. Duarte 1,Miguel D. Noseda 1 and Marguerite Rinaudo 4</b:Middle>
          </b:Person>
        </b:NameList>
      </b:Author>
    </b:Author>
    <b:PeriodicalTitle>Polymers</b:PeriodicalTitle>
    <b:RefOrder>2</b:RefOrder>
  </b:Source>
  <b:Source>
    <b:Tag>LMP17</b:Tag>
    <b:SourceType>ArticleInAPeriodical</b:SourceType>
    <b:Guid>{880FDE75-A771-47CC-972F-917B52B8594C}</b:Guid>
    <b:Author>
      <b:Author>
        <b:NameList>
          <b:Person>
            <b:Last>L. M. Polgar</b:Last>
            <b:First>†,‡</b:First>
            <b:Middle>E. Hagting,† P. Raffa,† M. Mauri,§ R. Simonutti,§ F. Picchioni,*,†,‡ and M. van Duin†,∥</b:Middle>
          </b:Person>
        </b:NameList>
      </b:Author>
    </b:Author>
    <b:Title>Effect of Rubber Polarity on Cluster Formation in Rubbers Cross-Linked with Diels−Alder Chemistry</b:Title>
    <b:PeriodicalTitle>Macromolecules</b:PeriodicalTitle>
    <b:Year>2017</b:Year>
    <b:RefOrder>4</b:RefOrder>
  </b:Source>
</b:Sources>
</file>

<file path=customXml/itemProps1.xml><?xml version="1.0" encoding="utf-8"?>
<ds:datastoreItem xmlns:ds="http://schemas.openxmlformats.org/officeDocument/2006/customXml" ds:itemID="{1F07F43D-0148-4DAB-9E04-FE1ED13F4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d.besghini@campus.unimib.it</cp:lastModifiedBy>
  <cp:revision>9</cp:revision>
  <dcterms:created xsi:type="dcterms:W3CDTF">2019-01-18T15:11:00Z</dcterms:created>
  <dcterms:modified xsi:type="dcterms:W3CDTF">2019-01-24T17:39:00Z</dcterms:modified>
</cp:coreProperties>
</file>