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E78A29" w14:textId="77777777" w:rsidR="00CD5D66" w:rsidRDefault="00CD5D66" w:rsidP="00B55A17">
      <w:pPr>
        <w:pStyle w:val="IATED-Authors"/>
        <w:rPr>
          <w:caps/>
          <w:sz w:val="28"/>
        </w:rPr>
      </w:pPr>
      <w:r w:rsidRPr="00CD5D66">
        <w:rPr>
          <w:caps/>
          <w:sz w:val="28"/>
        </w:rPr>
        <w:t>MUSIC AT SCHOOL: SOUND CONTEXT, PEOPLE AND SOCIETY</w:t>
      </w:r>
    </w:p>
    <w:p w14:paraId="1A98B0CD" w14:textId="77777777" w:rsidR="00CD5D66" w:rsidRDefault="00CD5D66" w:rsidP="00B55A17">
      <w:pPr>
        <w:pStyle w:val="IATED-Authors"/>
        <w:rPr>
          <w:caps/>
          <w:sz w:val="28"/>
        </w:rPr>
      </w:pPr>
    </w:p>
    <w:p w14:paraId="0C85F433" w14:textId="232CBA98" w:rsidR="00B55A17" w:rsidRPr="00705478" w:rsidRDefault="00CD5D66" w:rsidP="00B55A17">
      <w:pPr>
        <w:pStyle w:val="IATED-Authors"/>
      </w:pPr>
      <w:r>
        <w:rPr>
          <w:sz w:val="28"/>
        </w:rPr>
        <w:t>Samuele</w:t>
      </w:r>
      <w:r w:rsidRPr="00705478">
        <w:t xml:space="preserve"> Ferrarese</w:t>
      </w:r>
    </w:p>
    <w:p w14:paraId="09F61110" w14:textId="77777777" w:rsidR="00B55A17" w:rsidRPr="00705478" w:rsidRDefault="00B55A17" w:rsidP="00B55A17">
      <w:pPr>
        <w:pStyle w:val="IATED-Affiliation"/>
      </w:pPr>
      <w:r w:rsidRPr="00705478">
        <w:t>University of Milano Bicocca (ITALY)</w:t>
      </w:r>
    </w:p>
    <w:p w14:paraId="3FF93FB2" w14:textId="77777777" w:rsidR="00B55A17" w:rsidRPr="00705478" w:rsidRDefault="00B55A17" w:rsidP="00CD5D66">
      <w:pPr>
        <w:pStyle w:val="Titolo"/>
        <w:jc w:val="both"/>
        <w:rPr>
          <w:lang w:val="en-GB"/>
        </w:rPr>
      </w:pPr>
      <w:r w:rsidRPr="00705478">
        <w:rPr>
          <w:lang w:val="en-GB"/>
        </w:rPr>
        <w:t>Abstract</w:t>
      </w:r>
    </w:p>
    <w:p w14:paraId="65FC9A51" w14:textId="77777777" w:rsidR="00CD5D66" w:rsidRDefault="00CD5D66" w:rsidP="00CD5D66">
      <w:pPr>
        <w:spacing w:before="0" w:after="0"/>
        <w:rPr>
          <w:rFonts w:cs="Arial"/>
          <w:color w:val="000000"/>
          <w:szCs w:val="20"/>
          <w:shd w:val="clear" w:color="auto" w:fill="FFFFFF"/>
          <w:lang w:val="it-IT" w:eastAsia="it-IT"/>
        </w:rPr>
      </w:pPr>
      <w:r w:rsidRPr="00CD5D66">
        <w:rPr>
          <w:rFonts w:cs="Arial"/>
          <w:color w:val="000000"/>
          <w:szCs w:val="20"/>
          <w:shd w:val="clear" w:color="auto" w:fill="FFFFFF"/>
          <w:lang w:val="it-IT" w:eastAsia="it-IT"/>
        </w:rPr>
        <w:t>In this paper, we'll try to give some suggestions about the role of Music at school (primary and secondary school) as an instrument to affect the social environment and to boost up cognitive and relational skills. Speaking of Music also means taking into consideration variable types of cultural and social. The sound context is closely related to the environment in which it develops, to the society that produces it, to the meaning it occupies within a message that it can go far beyond the simple musical stylistic content. Those who work in the field of education and training have the task of understanding the important changes that hyper-modernity has also produced in the musical field and, more generally, sound: our way to listen, to deal with the material we listen to, to relate to the sound imprint of a specific culture and society is changing along with the tools and possibilities that technology, in an almost frantic manner, offers us.</w:t>
      </w:r>
    </w:p>
    <w:p w14:paraId="14161C00" w14:textId="26B907C5" w:rsidR="00CD5D66" w:rsidRPr="00CD5D66" w:rsidRDefault="00CD5D66" w:rsidP="00CD5D66">
      <w:pPr>
        <w:spacing w:before="0" w:after="0"/>
        <w:rPr>
          <w:rFonts w:ascii="Times New Roman" w:hAnsi="Times New Roman"/>
          <w:sz w:val="24"/>
          <w:lang w:val="it-IT" w:eastAsia="it-IT"/>
        </w:rPr>
      </w:pPr>
      <w:r w:rsidRPr="00CD5D66">
        <w:rPr>
          <w:rFonts w:cs="Arial"/>
          <w:color w:val="000000"/>
          <w:szCs w:val="20"/>
          <w:lang w:val="it-IT" w:eastAsia="it-IT"/>
        </w:rPr>
        <w:br/>
      </w:r>
      <w:r w:rsidRPr="00CD5D66">
        <w:rPr>
          <w:rFonts w:cs="Arial"/>
          <w:color w:val="000000"/>
          <w:szCs w:val="20"/>
          <w:shd w:val="clear" w:color="auto" w:fill="FFFFFF"/>
          <w:lang w:val="it-IT" w:eastAsia="it-IT"/>
        </w:rPr>
        <w:t>Governing the change, formal to a conscious use of the tools of the ongoing change: this can become the personal and educational goal of every trainer, the key to once for teaching that, illuminated by the models of the past, can guarantee a level of significant current affairs through which to confirm its unquestionable importance within the development path of each child, boy, young person and adult.</w:t>
      </w:r>
    </w:p>
    <w:p w14:paraId="2F3CDF07" w14:textId="2BEE1B02" w:rsidR="00CD5D66" w:rsidRDefault="00CD5D66" w:rsidP="00CD5D66">
      <w:pPr>
        <w:shd w:val="clear" w:color="auto" w:fill="FFFFFF"/>
        <w:spacing w:before="100" w:beforeAutospacing="1" w:after="100" w:afterAutospacing="1"/>
        <w:rPr>
          <w:rFonts w:cs="Arial"/>
          <w:color w:val="000000"/>
          <w:szCs w:val="20"/>
          <w:lang w:val="it-IT" w:eastAsia="it-IT"/>
        </w:rPr>
      </w:pPr>
      <w:r w:rsidRPr="00CD5D66">
        <w:rPr>
          <w:rFonts w:cs="Arial"/>
          <w:color w:val="000000"/>
          <w:szCs w:val="20"/>
          <w:lang w:val="it-IT" w:eastAsia="it-IT"/>
        </w:rPr>
        <w:t>Keywords: Music, Education, School, Primary School, Secondary School, Instruments, Method</w:t>
      </w:r>
    </w:p>
    <w:p w14:paraId="688EE621" w14:textId="77777777" w:rsidR="001563AD" w:rsidRPr="00CD5D66" w:rsidRDefault="001563AD" w:rsidP="00CD5D66">
      <w:pPr>
        <w:shd w:val="clear" w:color="auto" w:fill="FFFFFF"/>
        <w:spacing w:before="100" w:beforeAutospacing="1" w:after="100" w:afterAutospacing="1"/>
        <w:rPr>
          <w:rFonts w:cs="Arial"/>
          <w:color w:val="000000"/>
          <w:szCs w:val="20"/>
          <w:lang w:val="it-IT" w:eastAsia="it-IT"/>
        </w:rPr>
      </w:pPr>
    </w:p>
    <w:p w14:paraId="19B7D934" w14:textId="37401D8E" w:rsidR="00B55A17" w:rsidRPr="001F3816" w:rsidRDefault="004A757F" w:rsidP="001F3816">
      <w:pPr>
        <w:pStyle w:val="Titolo1"/>
        <w:rPr>
          <w:lang w:val="en-GB"/>
        </w:rPr>
      </w:pPr>
      <w:r>
        <w:rPr>
          <w:lang w:val="en-GB"/>
        </w:rPr>
        <w:t>MUSIC AND CONTEXT EDUCATION</w:t>
      </w:r>
    </w:p>
    <w:p w14:paraId="3D146EA4" w14:textId="06A07C93" w:rsidR="001F3816" w:rsidRPr="00705478" w:rsidRDefault="001F3816" w:rsidP="001F3816">
      <w:pPr>
        <w:pStyle w:val="Titolo3"/>
        <w:numPr>
          <w:ilvl w:val="0"/>
          <w:numId w:val="0"/>
        </w:numPr>
        <w:ind w:left="720" w:hanging="720"/>
        <w:rPr>
          <w:lang w:val="en-GB"/>
        </w:rPr>
      </w:pPr>
      <w:r>
        <w:rPr>
          <w:lang w:val="en-GB"/>
        </w:rPr>
        <w:t xml:space="preserve">1.1 </w:t>
      </w:r>
      <w:r w:rsidR="004A757F">
        <w:rPr>
          <w:lang w:val="en-GB"/>
        </w:rPr>
        <w:t>R</w:t>
      </w:r>
      <w:r w:rsidR="004A757F" w:rsidRPr="004A757F">
        <w:rPr>
          <w:lang w:val="en-GB"/>
        </w:rPr>
        <w:t>eference paradigms</w:t>
      </w:r>
    </w:p>
    <w:p w14:paraId="052C67AB" w14:textId="1E4B10D9" w:rsidR="004A757F" w:rsidRDefault="004A757F" w:rsidP="00B55A17">
      <w:pPr>
        <w:rPr>
          <w:lang w:val="en-GB"/>
        </w:rPr>
      </w:pPr>
      <w:r w:rsidRPr="004A757F">
        <w:rPr>
          <w:lang w:val="en-GB"/>
        </w:rPr>
        <w:t>Every development process is always a social path, a meeting between individuals or groups that mutually influence each other, intertwine, share information and relationships, quantitative and qualitative elements of their communication. Text and Context cannot be described as distinct and impermeable entities: they are the result of the being and the modification of the other, without the possibility of identifying a primacy between the content and the form, between the individual and the group, between a node of a system and the whole system itself. Looking at the educational path from this point of view means painting strategies of the context that can directly influence the growth of the child and, in light of the changes that this growth entails, structure and re-structure in order to identify ever more appropriate development goals and current.</w:t>
      </w:r>
    </w:p>
    <w:p w14:paraId="40D2235B" w14:textId="611C19AD" w:rsidR="004A757F" w:rsidRDefault="004A757F" w:rsidP="00B55A17">
      <w:pPr>
        <w:rPr>
          <w:lang w:val="en-GB"/>
        </w:rPr>
      </w:pPr>
      <w:r w:rsidRPr="004A757F">
        <w:rPr>
          <w:lang w:val="en-GB"/>
        </w:rPr>
        <w:t xml:space="preserve">Over time, various authors have described and reflected on the importance of the context in the psychological, social and educational fields: we will cite, in a non-exhaustive way, those who may have made an interesting contribution to the reflection on the subject in question. Semenovic Vygotsky (1896-1934) in his field research (later reworked by R. Luria) shows how learning is a process that can be strongly conditioned by the "fundamental forms of practical reality and real forms of culture". The historical-social changes induce new contents on a psychological level, they create new forms of conscious activity, of new structures of cognitive processes, they bring the consciousness of man to new levels. His is the concept of </w:t>
      </w:r>
      <w:bookmarkStart w:id="0" w:name="_Hlk17966904"/>
      <w:r w:rsidRPr="004A757F">
        <w:rPr>
          <w:lang w:val="en-GB"/>
        </w:rPr>
        <w:t xml:space="preserve">Proximal Development Zone </w:t>
      </w:r>
      <w:bookmarkEnd w:id="0"/>
      <w:r w:rsidRPr="004A757F">
        <w:rPr>
          <w:lang w:val="en-GB"/>
        </w:rPr>
        <w:t>(where "proximal" means "</w:t>
      </w:r>
      <w:bookmarkStart w:id="1" w:name="_Hlk17966862"/>
      <w:r w:rsidRPr="004A757F">
        <w:rPr>
          <w:lang w:val="en-GB"/>
        </w:rPr>
        <w:t xml:space="preserve">thanks to the relationship with </w:t>
      </w:r>
      <w:bookmarkEnd w:id="1"/>
      <w:r w:rsidRPr="004A757F">
        <w:rPr>
          <w:lang w:val="en-GB"/>
        </w:rPr>
        <w:t>the neighbor"), defined as the distance between the current learning situation of a subject and the level of potential development achievable through the relationship with a more competent neighbor (adult or child): through the relationship between individuals, between the individual and society, learning proceeds towards higher and deeper levels of knowledge and competence</w:t>
      </w:r>
      <w:r w:rsidR="001563AD">
        <w:rPr>
          <w:lang w:val="en-GB"/>
        </w:rPr>
        <w:t xml:space="preserve"> (fig.1).</w:t>
      </w:r>
    </w:p>
    <w:p w14:paraId="338F0150" w14:textId="77777777" w:rsidR="001563AD" w:rsidRDefault="001563AD" w:rsidP="004A757F">
      <w:pPr>
        <w:rPr>
          <w:lang w:val="en-GB"/>
        </w:rPr>
      </w:pPr>
    </w:p>
    <w:p w14:paraId="71936FDD" w14:textId="594800D6" w:rsidR="001563AD" w:rsidRDefault="001563AD" w:rsidP="004A757F">
      <w:pPr>
        <w:rPr>
          <w:lang w:val="en-GB"/>
        </w:rPr>
      </w:pPr>
      <w:r>
        <w:rPr>
          <w:noProof/>
          <w:lang w:val="en-GB"/>
        </w:rPr>
        <w:lastRenderedPageBreak/>
        <w:drawing>
          <wp:anchor distT="0" distB="0" distL="114300" distR="114300" simplePos="0" relativeHeight="251665920" behindDoc="1" locked="0" layoutInCell="1" allowOverlap="1" wp14:anchorId="3A550356" wp14:editId="617ED4B5">
            <wp:simplePos x="0" y="0"/>
            <wp:positionH relativeFrom="column">
              <wp:posOffset>-1270</wp:posOffset>
            </wp:positionH>
            <wp:positionV relativeFrom="paragraph">
              <wp:posOffset>-1270</wp:posOffset>
            </wp:positionV>
            <wp:extent cx="4397121" cy="1920406"/>
            <wp:effectExtent l="0" t="0" r="3810" b="3810"/>
            <wp:wrapTight wrapText="bothSides">
              <wp:wrapPolygon edited="0">
                <wp:start x="0" y="0"/>
                <wp:lineTo x="0" y="21429"/>
                <wp:lineTo x="21525" y="21429"/>
                <wp:lineTo x="21525" y="0"/>
                <wp:lineTo x="0" y="0"/>
              </wp:wrapPolygon>
            </wp:wrapTight>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png"/>
                    <pic:cNvPicPr/>
                  </pic:nvPicPr>
                  <pic:blipFill>
                    <a:blip r:embed="rId8"/>
                    <a:stretch>
                      <a:fillRect/>
                    </a:stretch>
                  </pic:blipFill>
                  <pic:spPr>
                    <a:xfrm>
                      <a:off x="0" y="0"/>
                      <a:ext cx="4397121" cy="1920406"/>
                    </a:xfrm>
                    <a:prstGeom prst="rect">
                      <a:avLst/>
                    </a:prstGeom>
                  </pic:spPr>
                </pic:pic>
              </a:graphicData>
            </a:graphic>
            <wp14:sizeRelH relativeFrom="page">
              <wp14:pctWidth>0</wp14:pctWidth>
            </wp14:sizeRelH>
            <wp14:sizeRelV relativeFrom="page">
              <wp14:pctHeight>0</wp14:pctHeight>
            </wp14:sizeRelV>
          </wp:anchor>
        </w:drawing>
      </w:r>
    </w:p>
    <w:p w14:paraId="269A01BC" w14:textId="77777777" w:rsidR="001563AD" w:rsidRDefault="001563AD" w:rsidP="004A757F">
      <w:pPr>
        <w:rPr>
          <w:lang w:val="en-GB"/>
        </w:rPr>
      </w:pPr>
    </w:p>
    <w:p w14:paraId="4B01A6E3" w14:textId="77777777" w:rsidR="001563AD" w:rsidRDefault="001563AD" w:rsidP="004A757F">
      <w:pPr>
        <w:rPr>
          <w:lang w:val="en-GB"/>
        </w:rPr>
      </w:pPr>
    </w:p>
    <w:p w14:paraId="64658F98" w14:textId="59B30AEE" w:rsidR="001563AD" w:rsidRDefault="001563AD" w:rsidP="004A757F">
      <w:pPr>
        <w:rPr>
          <w:lang w:val="en-GB"/>
        </w:rPr>
      </w:pPr>
    </w:p>
    <w:p w14:paraId="44B72ADF" w14:textId="41F481C1" w:rsidR="001563AD" w:rsidRDefault="001563AD" w:rsidP="004A757F">
      <w:pPr>
        <w:rPr>
          <w:lang w:val="en-GB"/>
        </w:rPr>
      </w:pPr>
    </w:p>
    <w:p w14:paraId="490B8EF9" w14:textId="77777777" w:rsidR="001563AD" w:rsidRDefault="001563AD" w:rsidP="001563AD">
      <w:pPr>
        <w:pStyle w:val="IATED-CaptionFigures"/>
        <w:jc w:val="left"/>
      </w:pPr>
      <w:r>
        <w:t xml:space="preserve">Figure 1. </w:t>
      </w:r>
    </w:p>
    <w:p w14:paraId="36C37162" w14:textId="77777777" w:rsidR="00BE5044" w:rsidRDefault="001563AD" w:rsidP="00BE5044">
      <w:pPr>
        <w:spacing w:before="0" w:after="0"/>
        <w:jc w:val="left"/>
        <w:rPr>
          <w:bCs/>
          <w:i/>
          <w:szCs w:val="20"/>
          <w:lang w:val="en-GB"/>
        </w:rPr>
      </w:pPr>
      <w:r w:rsidRPr="001563AD">
        <w:rPr>
          <w:bCs/>
          <w:i/>
          <w:szCs w:val="20"/>
          <w:lang w:val="en-GB"/>
        </w:rPr>
        <w:t xml:space="preserve">Proximal Development </w:t>
      </w:r>
    </w:p>
    <w:p w14:paraId="5C22B3A9" w14:textId="0D2A9C86" w:rsidR="001563AD" w:rsidRDefault="001563AD" w:rsidP="00BE5044">
      <w:pPr>
        <w:spacing w:before="0" w:after="0"/>
        <w:jc w:val="left"/>
        <w:rPr>
          <w:lang w:val="en-GB"/>
        </w:rPr>
      </w:pPr>
      <w:r w:rsidRPr="001563AD">
        <w:rPr>
          <w:bCs/>
          <w:i/>
          <w:szCs w:val="20"/>
          <w:lang w:val="en-GB"/>
        </w:rPr>
        <w:t>Zone</w:t>
      </w:r>
    </w:p>
    <w:p w14:paraId="26B6E012" w14:textId="50BEE795" w:rsidR="001563AD" w:rsidRDefault="001563AD" w:rsidP="004A757F">
      <w:pPr>
        <w:rPr>
          <w:lang w:val="en-GB"/>
        </w:rPr>
      </w:pPr>
    </w:p>
    <w:p w14:paraId="43A66D8C" w14:textId="77777777" w:rsidR="001563AD" w:rsidRDefault="001563AD" w:rsidP="004A757F">
      <w:pPr>
        <w:rPr>
          <w:lang w:val="en-GB"/>
        </w:rPr>
      </w:pPr>
    </w:p>
    <w:p w14:paraId="19D2C1FA" w14:textId="2742AAFD" w:rsidR="004A757F" w:rsidRPr="004A757F" w:rsidRDefault="004A757F" w:rsidP="004A757F">
      <w:pPr>
        <w:rPr>
          <w:lang w:val="en-GB"/>
        </w:rPr>
      </w:pPr>
      <w:r w:rsidRPr="004A757F">
        <w:rPr>
          <w:lang w:val="en-GB"/>
        </w:rPr>
        <w:t>Kurt Lewin (1890-1947) also discusses the relationship between the individual and the environment. In presenting his "psychological field" theory, he described three interdependent facts that coexist:</w:t>
      </w:r>
    </w:p>
    <w:p w14:paraId="45685EF9" w14:textId="77777777" w:rsidR="004A757F" w:rsidRPr="004A757F" w:rsidRDefault="004A757F" w:rsidP="004A757F">
      <w:pPr>
        <w:rPr>
          <w:lang w:val="en-GB"/>
        </w:rPr>
      </w:pPr>
      <w:r w:rsidRPr="004A757F">
        <w:rPr>
          <w:lang w:val="en-GB"/>
        </w:rPr>
        <w:t>- the psychological representation that the subject gives of the environment in which it is inserted (space of life)</w:t>
      </w:r>
    </w:p>
    <w:p w14:paraId="5010576A" w14:textId="77777777" w:rsidR="004A757F" w:rsidRPr="004A757F" w:rsidRDefault="004A757F" w:rsidP="004A757F">
      <w:pPr>
        <w:rPr>
          <w:lang w:val="en-GB"/>
        </w:rPr>
      </w:pPr>
      <w:r w:rsidRPr="004A757F">
        <w:rPr>
          <w:lang w:val="en-GB"/>
        </w:rPr>
        <w:t>- social and environmental facts (even when they do not seem to directly affect the person's living space)</w:t>
      </w:r>
    </w:p>
    <w:p w14:paraId="1DF658FF" w14:textId="77777777" w:rsidR="004A757F" w:rsidRPr="004A757F" w:rsidRDefault="004A757F" w:rsidP="004A757F">
      <w:pPr>
        <w:rPr>
          <w:lang w:val="en-GB"/>
        </w:rPr>
      </w:pPr>
      <w:r w:rsidRPr="004A757F">
        <w:rPr>
          <w:lang w:val="en-GB"/>
        </w:rPr>
        <w:t>- a zone of contact between living space and social facts, where objectivity and subjectivity meet</w:t>
      </w:r>
    </w:p>
    <w:p w14:paraId="782FC4EA" w14:textId="1D2FF05A" w:rsidR="004A757F" w:rsidRDefault="004A757F" w:rsidP="004A757F">
      <w:pPr>
        <w:rPr>
          <w:lang w:val="en-GB"/>
        </w:rPr>
      </w:pPr>
      <w:r w:rsidRPr="004A757F">
        <w:rPr>
          <w:lang w:val="en-GB"/>
        </w:rPr>
        <w:t>For Lewin, describing behavior always means talking about the relationship between the person and the environment, of subjectivity in relation to external reality, of a meeting between different psychological fields that change in their interaction.</w:t>
      </w:r>
    </w:p>
    <w:p w14:paraId="53245CCC" w14:textId="3CBA6598" w:rsidR="004A757F" w:rsidRDefault="004A757F" w:rsidP="004A757F">
      <w:pPr>
        <w:rPr>
          <w:lang w:val="en-GB"/>
        </w:rPr>
      </w:pPr>
      <w:r w:rsidRPr="004A757F">
        <w:rPr>
          <w:lang w:val="en-GB"/>
        </w:rPr>
        <w:t>Gregory Bateson (1904-1980) puts even more emphasis on the importance of the context, of the form, of the relationship: knowing is a process that springs from a "creative subjectivity" through which the text, the content and information are they model according to the environment in which they develop.</w:t>
      </w:r>
    </w:p>
    <w:p w14:paraId="0710D73C" w14:textId="236EA563" w:rsidR="004A757F" w:rsidRPr="004A757F" w:rsidRDefault="004A757F" w:rsidP="004A757F">
      <w:pPr>
        <w:rPr>
          <w:lang w:val="en-GB"/>
        </w:rPr>
      </w:pPr>
      <w:r w:rsidRPr="004A757F">
        <w:rPr>
          <w:lang w:val="en-GB"/>
        </w:rPr>
        <w:t>Urie Bronfenbrenner (1917-2005) outlines an ecological perspective of human development that is built through different systems in concentric expansion starting from the individual</w:t>
      </w:r>
      <w:r w:rsidR="00BE5044">
        <w:rPr>
          <w:lang w:val="en-GB"/>
        </w:rPr>
        <w:t xml:space="preserve"> (fig.2)</w:t>
      </w:r>
      <w:r w:rsidRPr="004A757F">
        <w:rPr>
          <w:lang w:val="en-GB"/>
        </w:rPr>
        <w:t>:</w:t>
      </w:r>
    </w:p>
    <w:p w14:paraId="2C1DCF32" w14:textId="77777777" w:rsidR="004A757F" w:rsidRPr="004A757F" w:rsidRDefault="004A757F" w:rsidP="004A757F">
      <w:pPr>
        <w:rPr>
          <w:lang w:val="en-GB"/>
        </w:rPr>
      </w:pPr>
      <w:r w:rsidRPr="004A757F">
        <w:rPr>
          <w:lang w:val="en-GB"/>
        </w:rPr>
        <w:t>- Microsystem: "it is a scheme of activities, roles, and interpersonal relationships of which the developing individual has experience in a given context, and which have particular physical and concrete characteristics" (Bronfenbrenner, 1986) Examples of microsystems are: the house, the nursery, the playground</w:t>
      </w:r>
    </w:p>
    <w:p w14:paraId="0EA28610" w14:textId="77777777" w:rsidR="004A757F" w:rsidRPr="004A757F" w:rsidRDefault="004A757F" w:rsidP="004A757F">
      <w:pPr>
        <w:rPr>
          <w:lang w:val="en-GB"/>
        </w:rPr>
      </w:pPr>
      <w:r w:rsidRPr="004A757F">
        <w:rPr>
          <w:lang w:val="en-GB"/>
        </w:rPr>
        <w:t>- Mesosystem: “it includes the interrelations between two or more environmental situations in which the individual, in the developing world, actively participates (for a child, for example, the relationships between home, school and group of peers who live near the home his, for an adult, those between family, work and social life "(Bronfenbrenner, 1986)</w:t>
      </w:r>
    </w:p>
    <w:p w14:paraId="0BFDBF93" w14:textId="77777777" w:rsidR="004A757F" w:rsidRPr="004A757F" w:rsidRDefault="004A757F" w:rsidP="004A757F">
      <w:pPr>
        <w:rPr>
          <w:lang w:val="en-GB"/>
        </w:rPr>
      </w:pPr>
      <w:r w:rsidRPr="004A757F">
        <w:rPr>
          <w:lang w:val="en-GB"/>
        </w:rPr>
        <w:t>- Exosystem: it is defined as an interconnection between two or more social contexts, at least one of which cannot be directly experienced by the subject. An example could be the relationship between the "family" system and the "work of parents" system seen from the child's point of view</w:t>
      </w:r>
    </w:p>
    <w:p w14:paraId="55D83F79" w14:textId="20AB20E1" w:rsidR="004A757F" w:rsidRDefault="004A757F" w:rsidP="004A757F">
      <w:pPr>
        <w:rPr>
          <w:lang w:val="en-GB"/>
        </w:rPr>
      </w:pPr>
      <w:r w:rsidRPr="004A757F">
        <w:rPr>
          <w:lang w:val="en-GB"/>
        </w:rPr>
        <w:t>- The Macrosystem includes the political and economic institutions, the values ​​of society, its culture: the complexes of beliefs and behaviors that characterize the macro-system are transmitted from one generation to the next through the processes of socialization conducted by the various cultural institutions, such as the family, school, church, workplace and political-administrative structures.</w:t>
      </w:r>
    </w:p>
    <w:p w14:paraId="230419C9" w14:textId="77777777" w:rsidR="004A757F" w:rsidRPr="005C3D0F" w:rsidRDefault="004A757F" w:rsidP="004A757F">
      <w:pPr>
        <w:pStyle w:val="p"/>
        <w:shd w:val="clear" w:color="auto" w:fill="FFFFFF"/>
        <w:spacing w:before="0" w:beforeAutospacing="0" w:after="0" w:afterAutospacing="0" w:line="360" w:lineRule="auto"/>
        <w:jc w:val="both"/>
        <w:rPr>
          <w:rFonts w:ascii="Arial" w:hAnsi="Arial" w:cs="Arial"/>
          <w:color w:val="FF0000"/>
          <w:sz w:val="24"/>
          <w:szCs w:val="24"/>
        </w:rPr>
      </w:pPr>
      <w:bookmarkStart w:id="2" w:name="_Hlk6923729"/>
      <w:bookmarkStart w:id="3" w:name="_GoBack"/>
      <w:bookmarkEnd w:id="3"/>
      <w:r w:rsidRPr="00295B43">
        <w:rPr>
          <w:rFonts w:ascii="Arial" w:hAnsi="Arial" w:cs="Arial"/>
          <w:noProof/>
          <w:color w:val="0070C0"/>
          <w:sz w:val="24"/>
          <w:szCs w:val="24"/>
        </w:rPr>
        <w:lastRenderedPageBreak/>
        <w:drawing>
          <wp:anchor distT="0" distB="0" distL="114300" distR="114300" simplePos="0" relativeHeight="251664896" behindDoc="1" locked="0" layoutInCell="1" allowOverlap="1" wp14:anchorId="6F5DEA57" wp14:editId="7C143A00">
            <wp:simplePos x="0" y="0"/>
            <wp:positionH relativeFrom="margin">
              <wp:posOffset>818515</wp:posOffset>
            </wp:positionH>
            <wp:positionV relativeFrom="margin">
              <wp:posOffset>-266700</wp:posOffset>
            </wp:positionV>
            <wp:extent cx="4122420" cy="4156075"/>
            <wp:effectExtent l="0" t="0" r="0" b="0"/>
            <wp:wrapSquare wrapText="bothSides"/>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urie-bronfenbrenner-teoria-ecologica.jpg"/>
                    <pic:cNvPicPr/>
                  </pic:nvPicPr>
                  <pic:blipFill>
                    <a:blip r:embed="rId9"/>
                    <a:stretch>
                      <a:fillRect/>
                    </a:stretch>
                  </pic:blipFill>
                  <pic:spPr>
                    <a:xfrm>
                      <a:off x="0" y="0"/>
                      <a:ext cx="4122420" cy="4156075"/>
                    </a:xfrm>
                    <a:prstGeom prst="rect">
                      <a:avLst/>
                    </a:prstGeom>
                  </pic:spPr>
                </pic:pic>
              </a:graphicData>
            </a:graphic>
            <wp14:sizeRelH relativeFrom="margin">
              <wp14:pctWidth>0</wp14:pctWidth>
            </wp14:sizeRelH>
            <wp14:sizeRelV relativeFrom="margin">
              <wp14:pctHeight>0</wp14:pctHeight>
            </wp14:sizeRelV>
          </wp:anchor>
        </w:drawing>
      </w:r>
    </w:p>
    <w:bookmarkEnd w:id="2"/>
    <w:p w14:paraId="79F1EFB5" w14:textId="77777777" w:rsidR="00BE5044" w:rsidRDefault="00BE5044" w:rsidP="00BE5044">
      <w:pPr>
        <w:pStyle w:val="IATED-CaptionFigures"/>
        <w:jc w:val="left"/>
      </w:pPr>
    </w:p>
    <w:p w14:paraId="1759BA46" w14:textId="77777777" w:rsidR="00BE5044" w:rsidRDefault="00BE5044" w:rsidP="00BE5044">
      <w:pPr>
        <w:pStyle w:val="IATED-CaptionFigures"/>
        <w:jc w:val="left"/>
      </w:pPr>
    </w:p>
    <w:p w14:paraId="3E2AA853" w14:textId="77777777" w:rsidR="00BE5044" w:rsidRDefault="00BE5044" w:rsidP="00BE5044">
      <w:pPr>
        <w:pStyle w:val="IATED-CaptionFigures"/>
        <w:jc w:val="left"/>
      </w:pPr>
    </w:p>
    <w:p w14:paraId="57BBC618" w14:textId="77777777" w:rsidR="00BE5044" w:rsidRDefault="00BE5044" w:rsidP="00BE5044">
      <w:pPr>
        <w:pStyle w:val="IATED-CaptionFigures"/>
        <w:jc w:val="left"/>
      </w:pPr>
    </w:p>
    <w:p w14:paraId="1FE33145" w14:textId="77777777" w:rsidR="00BE5044" w:rsidRDefault="00BE5044" w:rsidP="00BE5044">
      <w:pPr>
        <w:pStyle w:val="IATED-CaptionFigures"/>
        <w:jc w:val="left"/>
      </w:pPr>
    </w:p>
    <w:p w14:paraId="31E99CE7" w14:textId="77777777" w:rsidR="00BE5044" w:rsidRDefault="00BE5044" w:rsidP="00BE5044">
      <w:pPr>
        <w:pStyle w:val="IATED-CaptionFigures"/>
        <w:jc w:val="left"/>
      </w:pPr>
    </w:p>
    <w:p w14:paraId="10766002" w14:textId="77777777" w:rsidR="00BE5044" w:rsidRDefault="00BE5044" w:rsidP="00BE5044">
      <w:pPr>
        <w:pStyle w:val="IATED-CaptionFigures"/>
        <w:jc w:val="left"/>
      </w:pPr>
    </w:p>
    <w:p w14:paraId="5217349A" w14:textId="77777777" w:rsidR="00BE5044" w:rsidRDefault="00BE5044" w:rsidP="00BE5044">
      <w:pPr>
        <w:pStyle w:val="IATED-CaptionFigures"/>
        <w:jc w:val="left"/>
      </w:pPr>
    </w:p>
    <w:p w14:paraId="2CD40B46" w14:textId="77777777" w:rsidR="00BE5044" w:rsidRDefault="00BE5044" w:rsidP="00BE5044">
      <w:pPr>
        <w:pStyle w:val="IATED-CaptionFigures"/>
        <w:jc w:val="left"/>
      </w:pPr>
    </w:p>
    <w:p w14:paraId="58E1773C" w14:textId="77777777" w:rsidR="00BE5044" w:rsidRDefault="00BE5044" w:rsidP="00BE5044">
      <w:pPr>
        <w:pStyle w:val="IATED-CaptionFigures"/>
        <w:jc w:val="left"/>
      </w:pPr>
    </w:p>
    <w:p w14:paraId="386F56E9" w14:textId="77777777" w:rsidR="00BE5044" w:rsidRDefault="00BE5044" w:rsidP="00BE5044">
      <w:pPr>
        <w:pStyle w:val="IATED-CaptionFigures"/>
        <w:jc w:val="left"/>
      </w:pPr>
    </w:p>
    <w:p w14:paraId="3ECD7CF8" w14:textId="77777777" w:rsidR="00BE5044" w:rsidRDefault="00BE5044" w:rsidP="00BE5044">
      <w:pPr>
        <w:pStyle w:val="IATED-CaptionFigures"/>
        <w:jc w:val="left"/>
      </w:pPr>
    </w:p>
    <w:p w14:paraId="2E549FB6" w14:textId="77777777" w:rsidR="00BE5044" w:rsidRDefault="00BE5044" w:rsidP="00BE5044">
      <w:pPr>
        <w:pStyle w:val="IATED-CaptionFigures"/>
      </w:pPr>
    </w:p>
    <w:p w14:paraId="4D797A69" w14:textId="336BF671" w:rsidR="00BE5044" w:rsidRDefault="00BE5044" w:rsidP="00BE5044">
      <w:pPr>
        <w:pStyle w:val="IATED-CaptionFigures"/>
      </w:pPr>
      <w:r>
        <w:t xml:space="preserve">Figure </w:t>
      </w:r>
      <w:r>
        <w:t>2</w:t>
      </w:r>
      <w:r>
        <w:t>.</w:t>
      </w:r>
      <w:r>
        <w:t xml:space="preserve"> </w:t>
      </w:r>
      <w:r w:rsidRPr="00BE5044">
        <w:t>Brofenbrenner ecological system</w:t>
      </w:r>
    </w:p>
    <w:p w14:paraId="360CCF5A" w14:textId="247B8C02" w:rsidR="004A757F" w:rsidRDefault="004A757F" w:rsidP="00B55A17">
      <w:pPr>
        <w:rPr>
          <w:lang w:val="en-GB"/>
        </w:rPr>
      </w:pPr>
    </w:p>
    <w:p w14:paraId="32B6FA2D" w14:textId="760784BF" w:rsidR="004A757F" w:rsidRDefault="004A757F" w:rsidP="00B55A17">
      <w:pPr>
        <w:rPr>
          <w:lang w:val="en-GB"/>
        </w:rPr>
      </w:pPr>
      <w:r w:rsidRPr="004A757F">
        <w:rPr>
          <w:lang w:val="en-GB"/>
        </w:rPr>
        <w:t>Each system has objective characteristics of significance that cannot be understood except in the light of the perceptions that each individual has of the same. Also in this case, subjectivity and environment interpenetrate, changing over time.</w:t>
      </w:r>
    </w:p>
    <w:p w14:paraId="197C8BB9" w14:textId="4274D748" w:rsidR="004A757F" w:rsidRDefault="004A757F" w:rsidP="00B55A17">
      <w:pPr>
        <w:rPr>
          <w:lang w:val="en-GB"/>
        </w:rPr>
      </w:pPr>
      <w:r w:rsidRPr="004A757F">
        <w:rPr>
          <w:lang w:val="en-GB"/>
        </w:rPr>
        <w:t>The theory of the Practice Communities of Etienne Wenger (1998) also seems to be able to illuminate the discourse on the context. A Community of Practice is formed when a group of individuals define a common goal and work to achieve it by investing different and functional roles, engaging in collaborative activities and activating emotional-relational dynamics. This process produces common and shared languages, symbols, theories-in-use, which go on to structure solid learning contexts not only from the point of view of the transmission of content, but also of the development of relations between the members of the community. can configure, according to this paradigm, as a Community of Practice (made up of students, teachers, parents and society) born with the aim of training and educating the little ones in order to realize their cognitive, personal and social development.</w:t>
      </w:r>
    </w:p>
    <w:p w14:paraId="61EBDD86" w14:textId="21E54C80" w:rsidR="004A757F" w:rsidRPr="004A757F" w:rsidRDefault="004A757F" w:rsidP="004A757F">
      <w:pPr>
        <w:rPr>
          <w:lang w:val="en-GB"/>
        </w:rPr>
      </w:pPr>
      <w:r w:rsidRPr="004A757F">
        <w:rPr>
          <w:lang w:val="en-GB"/>
        </w:rPr>
        <w:t>The class therefore seems to possess different characteristics that make it become a container of unique dynamics between the individual and the environment, between subjectivity and objectivity, between desire and will:</w:t>
      </w:r>
    </w:p>
    <w:p w14:paraId="309E4681" w14:textId="77777777" w:rsidR="004A757F" w:rsidRPr="004A757F" w:rsidRDefault="004A757F" w:rsidP="004A757F">
      <w:pPr>
        <w:rPr>
          <w:lang w:val="en-GB"/>
        </w:rPr>
      </w:pPr>
      <w:r w:rsidRPr="004A757F">
        <w:rPr>
          <w:lang w:val="en-GB"/>
        </w:rPr>
        <w:t>- the class is a dynamic place: different events, promoted by actors with different roles, take place simultaneously, even in an unpredictable manner, requiring immediate and contextual decisions by the teacher.</w:t>
      </w:r>
    </w:p>
    <w:p w14:paraId="4303A120" w14:textId="77777777" w:rsidR="004A757F" w:rsidRPr="004A757F" w:rsidRDefault="004A757F" w:rsidP="004A757F">
      <w:pPr>
        <w:rPr>
          <w:lang w:val="en-GB"/>
        </w:rPr>
      </w:pPr>
      <w:r w:rsidRPr="004A757F">
        <w:rPr>
          <w:lang w:val="en-GB"/>
        </w:rPr>
        <w:t>- the class is a complex place: the desire to learn is staged, where work is carried out to transform and reconstruct the cultural objects to be taught (Damiano, 2013)</w:t>
      </w:r>
    </w:p>
    <w:p w14:paraId="7D490F6E" w14:textId="77777777" w:rsidR="004A757F" w:rsidRPr="004A757F" w:rsidRDefault="004A757F" w:rsidP="004A757F">
      <w:pPr>
        <w:rPr>
          <w:lang w:val="en-GB"/>
        </w:rPr>
      </w:pPr>
      <w:r w:rsidRPr="004A757F">
        <w:rPr>
          <w:lang w:val="en-GB"/>
        </w:rPr>
        <w:t>- the class is a system: it is configured according to principles of "totality-interdependence" (every part of the system is connected to all the others; the change of one of the parts modifies the whole system), "homeostasis" (the system tends to regulate itself to maintain its balance), "multiple causality" (each event can be explained as the activation of several other events that are the cause) - (Von Bertalanffy, 1971)</w:t>
      </w:r>
    </w:p>
    <w:p w14:paraId="1773AEBD" w14:textId="0F127833" w:rsidR="004A757F" w:rsidRDefault="004A757F" w:rsidP="004A757F">
      <w:pPr>
        <w:rPr>
          <w:lang w:val="en-GB"/>
        </w:rPr>
      </w:pPr>
      <w:r w:rsidRPr="004A757F">
        <w:rPr>
          <w:lang w:val="en-GB"/>
        </w:rPr>
        <w:lastRenderedPageBreak/>
        <w:t>- the class is a place of relationship: it is not enough to focus attention exclusively on individual individuals, but it is necessary to look at the "relationships between these parts / individuals and their interdependencies", since each event, positive or negative, can be seen also as a consequence of the relationship between teacher and student (Blandino, 2008)</w:t>
      </w:r>
      <w:r>
        <w:rPr>
          <w:lang w:val="en-GB"/>
        </w:rPr>
        <w:t>.</w:t>
      </w:r>
    </w:p>
    <w:p w14:paraId="529A0296" w14:textId="17BB787C" w:rsidR="004A757F" w:rsidRDefault="004A757F" w:rsidP="004A757F">
      <w:pPr>
        <w:rPr>
          <w:lang w:val="en-GB"/>
        </w:rPr>
      </w:pPr>
    </w:p>
    <w:p w14:paraId="2D5E9630" w14:textId="3C720991" w:rsidR="00AD27EB" w:rsidRPr="00705478" w:rsidRDefault="00AD27EB" w:rsidP="00AD27EB">
      <w:pPr>
        <w:pStyle w:val="Titolo3"/>
        <w:numPr>
          <w:ilvl w:val="0"/>
          <w:numId w:val="0"/>
        </w:numPr>
        <w:ind w:left="720" w:hanging="720"/>
        <w:rPr>
          <w:lang w:val="en-GB"/>
        </w:rPr>
      </w:pPr>
      <w:r>
        <w:rPr>
          <w:lang w:val="en-GB"/>
        </w:rPr>
        <w:t>1.</w:t>
      </w:r>
      <w:r>
        <w:rPr>
          <w:lang w:val="en-GB"/>
        </w:rPr>
        <w:t>2</w:t>
      </w:r>
      <w:r>
        <w:rPr>
          <w:lang w:val="en-GB"/>
        </w:rPr>
        <w:t xml:space="preserve"> </w:t>
      </w:r>
      <w:r w:rsidRPr="00AD27EB">
        <w:rPr>
          <w:lang w:val="en-GB"/>
        </w:rPr>
        <w:t>The Music that generates the context, the context that generates the Music</w:t>
      </w:r>
    </w:p>
    <w:p w14:paraId="40D84F8B" w14:textId="6DDEF1C4" w:rsidR="004A757F" w:rsidRDefault="00AD27EB" w:rsidP="004A757F">
      <w:pPr>
        <w:rPr>
          <w:lang w:val="en-GB"/>
        </w:rPr>
      </w:pPr>
      <w:r w:rsidRPr="00AD27EB">
        <w:rPr>
          <w:lang w:val="en-GB"/>
        </w:rPr>
        <w:t>What role can music have in the creation and modification of the learning context at school? How is it possible to build music learning environments suitable for achieving development goals that are interesting from a musical point of view, but also cognitive, personal and social? How can music be configured as a tool for cognitive development, for the co-construction of contents, for the management of the dynamics between individuals and between social groups?</w:t>
      </w:r>
    </w:p>
    <w:p w14:paraId="785126DF" w14:textId="77777777" w:rsidR="00AD27EB" w:rsidRPr="00AD27EB" w:rsidRDefault="00AD27EB" w:rsidP="00AD27EB">
      <w:pPr>
        <w:rPr>
          <w:lang w:val="en-GB"/>
        </w:rPr>
      </w:pPr>
      <w:r w:rsidRPr="00AD27EB">
        <w:rPr>
          <w:lang w:val="en-GB"/>
        </w:rPr>
        <w:t>First of all we have to put in order the many and different ways of understanding music and, in particular music in school:</w:t>
      </w:r>
    </w:p>
    <w:p w14:paraId="5C4D32B2" w14:textId="77777777" w:rsidR="00AD27EB" w:rsidRPr="00AD27EB" w:rsidRDefault="00AD27EB" w:rsidP="00AD27EB">
      <w:pPr>
        <w:rPr>
          <w:lang w:val="en-GB"/>
        </w:rPr>
      </w:pPr>
      <w:r w:rsidRPr="00AD27EB">
        <w:rPr>
          <w:lang w:val="en-GB"/>
        </w:rPr>
        <w:t xml:space="preserve">- </w:t>
      </w:r>
      <w:r w:rsidRPr="00AD27EB">
        <w:rPr>
          <w:b/>
          <w:bCs/>
          <w:lang w:val="en-GB"/>
        </w:rPr>
        <w:t>Music is "musical listening"</w:t>
      </w:r>
    </w:p>
    <w:p w14:paraId="189EAFE8" w14:textId="77777777" w:rsidR="00AD27EB" w:rsidRPr="00AD27EB" w:rsidRDefault="00AD27EB" w:rsidP="00AD27EB">
      <w:pPr>
        <w:rPr>
          <w:lang w:val="en-GB"/>
        </w:rPr>
      </w:pPr>
      <w:r w:rsidRPr="00AD27EB">
        <w:rPr>
          <w:lang w:val="en-GB"/>
        </w:rPr>
        <w:t>Listening could be seen as an activity to be left in the background when it comes to teaching: in reality it is increasingly evident that listening, understood as an active process of recognition of sound structures and variables, involves several important cognitive functions such as attention, memory, sound representations and their categorization. It is possible to know, recognize and manipulate the sound variables only if you are able to listen to them, to discriminate them clearly and clearly within the musical flow that, unlike other perceptive inputs, is not present in time in an unlimited way, but emerges from the silence to return there.</w:t>
      </w:r>
    </w:p>
    <w:p w14:paraId="1ACF1793" w14:textId="77777777" w:rsidR="00AD27EB" w:rsidRPr="00AD27EB" w:rsidRDefault="00AD27EB" w:rsidP="00AD27EB">
      <w:pPr>
        <w:rPr>
          <w:lang w:val="en-GB"/>
        </w:rPr>
      </w:pPr>
      <w:r w:rsidRPr="00AD27EB">
        <w:rPr>
          <w:lang w:val="en-GB"/>
        </w:rPr>
        <w:t xml:space="preserve">- </w:t>
      </w:r>
      <w:r w:rsidRPr="00AD27EB">
        <w:rPr>
          <w:b/>
          <w:bCs/>
          <w:lang w:val="en-GB"/>
        </w:rPr>
        <w:t>Music is "music theory"</w:t>
      </w:r>
    </w:p>
    <w:p w14:paraId="15C81009" w14:textId="77777777" w:rsidR="00AD27EB" w:rsidRPr="00AD27EB" w:rsidRDefault="00AD27EB" w:rsidP="00AD27EB">
      <w:pPr>
        <w:rPr>
          <w:lang w:val="en-GB"/>
        </w:rPr>
      </w:pPr>
      <w:r w:rsidRPr="00AD27EB">
        <w:rPr>
          <w:lang w:val="en-GB"/>
        </w:rPr>
        <w:t>When we talk about music theory we refer to that group of knowledge that describes the sound phenomenon according to its own method, in order to "give a name and a structure" to the dynamisms that take part in the musical discourse. The theory illuminates the practice, gives an organized and analytical point of view to those who want to understand the musical world in a structural way to find the reasons for the communicative power of the sound language. The theory cannot be treated separately from listening and from instrumental practice: these three interconnected "fields" give reason to each other, they explain each other, give value, in a complementary way, to all that can be said and done when it comes to music.</w:t>
      </w:r>
    </w:p>
    <w:p w14:paraId="371BF480" w14:textId="77777777" w:rsidR="00AD27EB" w:rsidRPr="00AD27EB" w:rsidRDefault="00AD27EB" w:rsidP="00AD27EB">
      <w:pPr>
        <w:rPr>
          <w:b/>
          <w:bCs/>
          <w:lang w:val="en-GB"/>
        </w:rPr>
      </w:pPr>
      <w:r w:rsidRPr="00AD27EB">
        <w:rPr>
          <w:lang w:val="en-GB"/>
        </w:rPr>
        <w:t xml:space="preserve">- </w:t>
      </w:r>
      <w:r w:rsidRPr="00AD27EB">
        <w:rPr>
          <w:b/>
          <w:bCs/>
          <w:lang w:val="en-GB"/>
        </w:rPr>
        <w:t>Music is "music technique, musical practice"</w:t>
      </w:r>
    </w:p>
    <w:p w14:paraId="467F9410" w14:textId="77777777" w:rsidR="00AD27EB" w:rsidRPr="00AD27EB" w:rsidRDefault="00AD27EB" w:rsidP="00AD27EB">
      <w:pPr>
        <w:rPr>
          <w:lang w:val="en-GB"/>
        </w:rPr>
      </w:pPr>
      <w:r w:rsidRPr="00AD27EB">
        <w:rPr>
          <w:lang w:val="en-GB"/>
        </w:rPr>
        <w:t>Music comes from movement, from vibration, from the interruption of a still silence thanks to a dynamic perturbation: talking about music also means acting, putting into effect this transformation of the sound state of the environment through the use of instruments of various kinds, conventional and unconventional, not forgetting the voice, the first instrument available to the human being. The musical practice requires technical skills, specific to each instrument, which can be acquired through activity, exercise, training: musical ability is not a present or missing quality within the individual's repertoire of skills , but it is a dimension that must be discovered, strengthened, maintained over time. The same attitude to musicality, genetic psychology teaches us, could never express itself in a decisive manner without an adequate environment made of stimuli and experiential paths.</w:t>
      </w:r>
    </w:p>
    <w:p w14:paraId="2760012E" w14:textId="77777777" w:rsidR="00AD27EB" w:rsidRPr="00AD27EB" w:rsidRDefault="00AD27EB" w:rsidP="00AD27EB">
      <w:pPr>
        <w:rPr>
          <w:lang w:val="en-GB"/>
        </w:rPr>
      </w:pPr>
      <w:r w:rsidRPr="00AD27EB">
        <w:rPr>
          <w:lang w:val="en-GB"/>
        </w:rPr>
        <w:t xml:space="preserve">- </w:t>
      </w:r>
      <w:r w:rsidRPr="00AD27EB">
        <w:rPr>
          <w:b/>
          <w:bCs/>
          <w:lang w:val="en-GB"/>
        </w:rPr>
        <w:t>Music is "history of music"</w:t>
      </w:r>
    </w:p>
    <w:p w14:paraId="092F6835" w14:textId="26B69B32" w:rsidR="004A757F" w:rsidRDefault="00AD27EB" w:rsidP="00AD27EB">
      <w:pPr>
        <w:rPr>
          <w:lang w:val="en-GB"/>
        </w:rPr>
      </w:pPr>
      <w:r w:rsidRPr="00AD27EB">
        <w:rPr>
          <w:lang w:val="en-GB"/>
        </w:rPr>
        <w:t>The history of man is also the history of his music: there always seems to have been a close relationship between the musical expression and the cultural identity of a social group, a community, a people. Speaking of the evolution of structures, styles and musical genres becomes important, therefore, also to understand other aspects of the human that go beyond the aesthetic / artistic judgment. The discourse on the musical "chronicle" of today is becoming more complex: we are witnessing a real phenomenon of rapid globalization of structures, forms, genres, musical timbres within which the change precedes the description of the phenomenon itself, which it manifests itself, changes, disappears even before it can be understood. The effort of the trainer and the educator could become that of trying to make sense of the contemporary music scene, integrating history with current events, the past with the present, avoiding the compulsive consumption of sound products without any kind of awareness.</w:t>
      </w:r>
      <w:r>
        <w:rPr>
          <w:lang w:val="en-GB"/>
        </w:rPr>
        <w:t xml:space="preserve"> </w:t>
      </w:r>
      <w:r w:rsidRPr="00AD27EB">
        <w:rPr>
          <w:lang w:val="en-GB"/>
        </w:rPr>
        <w:t xml:space="preserve">History of music is also the history of "music teaching": over time, various authors have worked hard to understand and describe the educational processes most suited to learning and musical development. Knowing the different educational landscapes means being able to integrate, in </w:t>
      </w:r>
      <w:r w:rsidRPr="00AD27EB">
        <w:rPr>
          <w:lang w:val="en-GB"/>
        </w:rPr>
        <w:lastRenderedPageBreak/>
        <w:t>training, knowledge related to different paradigms in order to be able to propose paths suitable for educational environments that are always different, dynamic, unrepeatable.</w:t>
      </w:r>
    </w:p>
    <w:p w14:paraId="628B440D" w14:textId="77777777" w:rsidR="00AD27EB" w:rsidRPr="00AD27EB" w:rsidRDefault="00AD27EB" w:rsidP="00AD27EB">
      <w:pPr>
        <w:rPr>
          <w:lang w:val="en-GB"/>
        </w:rPr>
      </w:pPr>
      <w:r w:rsidRPr="00AD27EB">
        <w:rPr>
          <w:lang w:val="en-GB"/>
        </w:rPr>
        <w:t xml:space="preserve">- </w:t>
      </w:r>
      <w:r w:rsidRPr="00AD27EB">
        <w:rPr>
          <w:b/>
          <w:bCs/>
          <w:lang w:val="en-GB"/>
        </w:rPr>
        <w:t>Music is "a language"</w:t>
      </w:r>
    </w:p>
    <w:p w14:paraId="13BE9A57" w14:textId="77777777" w:rsidR="00AD27EB" w:rsidRPr="00AD27EB" w:rsidRDefault="00AD27EB" w:rsidP="00AD27EB">
      <w:pPr>
        <w:rPr>
          <w:lang w:val="en-GB"/>
        </w:rPr>
      </w:pPr>
      <w:r w:rsidRPr="00AD27EB">
        <w:rPr>
          <w:lang w:val="en-GB"/>
        </w:rPr>
        <w:t>The musical phenomenon has all the characteristics of a real language. It is possible to identify, speaking of music, a sender, a receiver, a referent (a meaning), a message (a mode of transmission of meaning), a code and a communication channel. There are those who go so far as to define music as a "universal" language: in reality, very probably, universality resides exclusively in the immediacy of the perception of the sound message that does not require the semantics of the word to communicate a meaning. On the other hand, however, it is difficult to understand the meaning that a specific social group attributes to a given sound structure without knowing the historical-cultural-social presuppositions that gave life to the sound itself: the musical text is, therefore, perceived in a universal manner, but it can only be understood thanks to the understanding of the context. The music theory, the history of music, the instrumental practice and the perceptual immediacy of the sound phenomenon are the variables through which to describe the musical language.</w:t>
      </w:r>
    </w:p>
    <w:p w14:paraId="1233B980" w14:textId="77777777" w:rsidR="00AD27EB" w:rsidRPr="00AD27EB" w:rsidRDefault="00AD27EB" w:rsidP="00AD27EB">
      <w:pPr>
        <w:rPr>
          <w:lang w:val="en-GB"/>
        </w:rPr>
      </w:pPr>
      <w:r w:rsidRPr="00AD27EB">
        <w:rPr>
          <w:lang w:val="en-GB"/>
        </w:rPr>
        <w:t xml:space="preserve">- </w:t>
      </w:r>
      <w:r w:rsidRPr="00AD27EB">
        <w:rPr>
          <w:b/>
          <w:bCs/>
          <w:lang w:val="en-GB"/>
        </w:rPr>
        <w:t>Music is "a tool for cognitive enhancement"</w:t>
      </w:r>
    </w:p>
    <w:p w14:paraId="4E82C4CE" w14:textId="65601853" w:rsidR="004A757F" w:rsidRDefault="00AD27EB" w:rsidP="00AD27EB">
      <w:pPr>
        <w:rPr>
          <w:lang w:val="en-GB"/>
        </w:rPr>
      </w:pPr>
      <w:r w:rsidRPr="00AD27EB">
        <w:rPr>
          <w:lang w:val="en-GB"/>
        </w:rPr>
        <w:t>The most recent neuroscience techniques of observation of brain structures and functions have revealed how active each active form of relationship with the musical world (listening, movement, instrumental practice) and increases the potential of different neuronal circuits that have to do not only with the music in itself, but also with other cognitive and behavioral domains typical of everyday life: movement, language, memory and attention are operational areas of the human being that benefit from a musical training at all levels, to all age, in many ways. In this paradigm, making music does not become an end in itself activity, but opens up multidisciplinary perspectives of intervention in different fields of education, training, education and rehabilitation.</w:t>
      </w:r>
    </w:p>
    <w:p w14:paraId="6450A827" w14:textId="51BBEACC" w:rsidR="004A757F" w:rsidRDefault="004A757F" w:rsidP="00B55A17">
      <w:pPr>
        <w:rPr>
          <w:lang w:val="en-GB"/>
        </w:rPr>
      </w:pPr>
    </w:p>
    <w:p w14:paraId="312B7238" w14:textId="3DD9AB27" w:rsidR="005A1AB5" w:rsidRDefault="005A1AB5" w:rsidP="00B55A17">
      <w:pPr>
        <w:rPr>
          <w:lang w:val="en-GB"/>
        </w:rPr>
      </w:pPr>
      <w:r w:rsidRPr="005A1AB5">
        <w:rPr>
          <w:lang w:val="en-GB"/>
        </w:rPr>
        <w:t>Once orderly, certainly not entirely exhaustive, within the various facets that I express the concept of Music in the School, it is easy to understand how only a paradigm that integrates the different "souls" of musical discourse can outline effective educational paths and complete that deliver to the student (of all ages) an interpretative and operative modality of the musical world. The first step, as you can well imagine, is the personal work of the trainer, of the teacher, who must first approach and penetrate the depths of the rich musical landscape to know him, re-know him and know how to manipulate him with confidence and familiarity: a challenging path and complex which, however, ensures the beauty of the discovery of a new way of understanding the sound context.</w:t>
      </w:r>
    </w:p>
    <w:p w14:paraId="0B7EC38B" w14:textId="77777777" w:rsidR="005A1AB5" w:rsidRPr="005A1AB5" w:rsidRDefault="005A1AB5" w:rsidP="005A1AB5">
      <w:pPr>
        <w:rPr>
          <w:lang w:val="en-GB"/>
        </w:rPr>
      </w:pPr>
      <w:r w:rsidRPr="005A1AB5">
        <w:rPr>
          <w:lang w:val="en-GB"/>
        </w:rPr>
        <w:t>Let's take as a reference the paradigms concerning the relationship between text / context, objectivity / subjectivity and related systems to try to describe how Music (produced and listened to) can have a fundamental role in defining the relationships between the individual and the environment, between individuals and between environments (including learning):</w:t>
      </w:r>
    </w:p>
    <w:p w14:paraId="1920662B" w14:textId="77777777" w:rsidR="005A1AB5" w:rsidRPr="005A1AB5" w:rsidRDefault="005A1AB5" w:rsidP="005A1AB5">
      <w:pPr>
        <w:rPr>
          <w:lang w:val="en-GB"/>
        </w:rPr>
      </w:pPr>
      <w:r w:rsidRPr="005A1AB5">
        <w:rPr>
          <w:lang w:val="en-GB"/>
        </w:rPr>
        <w:t xml:space="preserve">- </w:t>
      </w:r>
      <w:r w:rsidRPr="005A1AB5">
        <w:rPr>
          <w:b/>
          <w:bCs/>
          <w:lang w:val="en-GB"/>
        </w:rPr>
        <w:t>Music as "social construction"</w:t>
      </w:r>
    </w:p>
    <w:p w14:paraId="0AFC3BB8" w14:textId="77777777" w:rsidR="005A1AB5" w:rsidRPr="005A1AB5" w:rsidRDefault="005A1AB5" w:rsidP="005A1AB5">
      <w:pPr>
        <w:rPr>
          <w:lang w:val="en-GB"/>
        </w:rPr>
      </w:pPr>
      <w:r w:rsidRPr="005A1AB5">
        <w:rPr>
          <w:lang w:val="en-GB"/>
        </w:rPr>
        <w:t>According to Vygotskji, historical-social events significantly influence the contents on a psychological level, on forms of conscious activity, on the structures of cognitive processes, bringing man to new levels of consciousness. Music could therefore be described as one of the social and cultural events that, in a direct or indirect way, give new shape to the context by modifying group thinking and, consequently, individual thinking. The musical environment can change the way we think of the world itself, of the relationships between individuals, of society in general: every soundprint always has its own social value, a meaning that goes beyond the product itself.</w:t>
      </w:r>
    </w:p>
    <w:p w14:paraId="098BA8E3" w14:textId="77777777" w:rsidR="005A1AB5" w:rsidRPr="005A1AB5" w:rsidRDefault="005A1AB5" w:rsidP="005A1AB5">
      <w:pPr>
        <w:rPr>
          <w:lang w:val="en-GB"/>
        </w:rPr>
      </w:pPr>
      <w:r w:rsidRPr="005A1AB5">
        <w:rPr>
          <w:lang w:val="en-GB"/>
        </w:rPr>
        <w:t>The Russian author also speaks, in his speech on learning, of "proximal development zone", understood as the development potential that each individual can achieve in the interaction with a more competent peer or adult: nothing more true when this dynamic is declined in the context of musical teaching / learning, the place of positive interaction par excellence, where improvement objectives are outlined in the relationship between a subject eager to learn and a more competent "other" capable of first crossing the path .</w:t>
      </w:r>
    </w:p>
    <w:p w14:paraId="4DDAB1EE" w14:textId="77777777" w:rsidR="005A1AB5" w:rsidRPr="005A1AB5" w:rsidRDefault="005A1AB5" w:rsidP="005A1AB5">
      <w:pPr>
        <w:rPr>
          <w:lang w:val="en-GB"/>
        </w:rPr>
      </w:pPr>
      <w:r w:rsidRPr="005A1AB5">
        <w:rPr>
          <w:lang w:val="en-GB"/>
        </w:rPr>
        <w:t xml:space="preserve">- </w:t>
      </w:r>
      <w:r w:rsidRPr="005A1AB5">
        <w:rPr>
          <w:b/>
          <w:bCs/>
          <w:lang w:val="en-GB"/>
        </w:rPr>
        <w:t>Music as a "contact zone" between social facts and representation</w:t>
      </w:r>
    </w:p>
    <w:p w14:paraId="6287BEDF" w14:textId="59E8CA68" w:rsidR="005A1AB5" w:rsidRDefault="005A1AB5" w:rsidP="005A1AB5">
      <w:pPr>
        <w:rPr>
          <w:lang w:val="en-GB"/>
        </w:rPr>
      </w:pPr>
      <w:r w:rsidRPr="005A1AB5">
        <w:rPr>
          <w:lang w:val="en-GB"/>
        </w:rPr>
        <w:t xml:space="preserve">Kurt lewin had described, in his "psychological field" paradigm, a zone of contact between the facts of reality and their internal representation in the individual: this border area would allow mind images to adapt to the morphology of the real, which it would change according to the ways in which the subject </w:t>
      </w:r>
      <w:r w:rsidRPr="005A1AB5">
        <w:rPr>
          <w:lang w:val="en-GB"/>
        </w:rPr>
        <w:lastRenderedPageBreak/>
        <w:t>interprets what he experiences. The Music and, more generally, the world of sounds are placed precisely in that area where the objectivity of the sound fact permeates itself with representations that are given at the individual and collective level, modifying their essence and significance to the internal of a community, of a group, of a single subject. It is not possible to think of music in a static way: it is dynamic, it changes form, content and meaning over time, in places and between people.</w:t>
      </w:r>
    </w:p>
    <w:p w14:paraId="08450C07" w14:textId="77777777" w:rsidR="005A1AB5" w:rsidRPr="005A1AB5" w:rsidRDefault="005A1AB5" w:rsidP="005A1AB5">
      <w:pPr>
        <w:rPr>
          <w:lang w:val="en-GB"/>
        </w:rPr>
      </w:pPr>
      <w:r w:rsidRPr="005A1AB5">
        <w:rPr>
          <w:lang w:val="en-GB"/>
        </w:rPr>
        <w:t xml:space="preserve">- </w:t>
      </w:r>
      <w:r w:rsidRPr="005A1AB5">
        <w:rPr>
          <w:b/>
          <w:bCs/>
          <w:lang w:val="en-GB"/>
        </w:rPr>
        <w:t>Music as "context" that modifies the "text"</w:t>
      </w:r>
    </w:p>
    <w:p w14:paraId="5BEB1B1E" w14:textId="77777777" w:rsidR="005A1AB5" w:rsidRPr="005A1AB5" w:rsidRDefault="005A1AB5" w:rsidP="005A1AB5">
      <w:pPr>
        <w:rPr>
          <w:lang w:val="en-GB"/>
        </w:rPr>
      </w:pPr>
      <w:r w:rsidRPr="005A1AB5">
        <w:rPr>
          <w:lang w:val="en-GB"/>
        </w:rPr>
        <w:t>Gregory Bateson has for a long time observed how the "context" can influence the "text", how the form can give meaning to the content outlining the limits within which the meaning takes shape. We could define Music as the "context" par excellence, that container with structures, syntax and rules that are widely shared and understandable, where the description of the sound, verbal and para-verbal contents is staged. It is precisely the sound container that welcomes and enhances the content (the sound and the word): making music means, therefore, going to enhance those skills of describing the context that influence the meaning of the text.</w:t>
      </w:r>
    </w:p>
    <w:p w14:paraId="657C3F0A" w14:textId="77777777" w:rsidR="005A1AB5" w:rsidRPr="005A1AB5" w:rsidRDefault="005A1AB5" w:rsidP="005A1AB5">
      <w:pPr>
        <w:rPr>
          <w:lang w:val="en-GB"/>
        </w:rPr>
      </w:pPr>
      <w:r w:rsidRPr="005A1AB5">
        <w:rPr>
          <w:lang w:val="en-GB"/>
        </w:rPr>
        <w:t xml:space="preserve">- </w:t>
      </w:r>
      <w:r w:rsidRPr="005A1AB5">
        <w:rPr>
          <w:b/>
          <w:bCs/>
          <w:lang w:val="en-GB"/>
        </w:rPr>
        <w:t>Music as "inter-system"</w:t>
      </w:r>
    </w:p>
    <w:p w14:paraId="6A8B471C" w14:textId="77777777" w:rsidR="005A1AB5" w:rsidRPr="005A1AB5" w:rsidRDefault="005A1AB5" w:rsidP="005A1AB5">
      <w:pPr>
        <w:rPr>
          <w:lang w:val="en-GB"/>
        </w:rPr>
      </w:pPr>
      <w:r w:rsidRPr="005A1AB5">
        <w:rPr>
          <w:lang w:val="en-GB"/>
        </w:rPr>
        <w:t>If it is true that human development can be described according to an ecological perspective of interaction and relationship between systems that are near and far from the subject, but that in any case affect the same (Bronfenbrenner, 1986), Music is a cultural product and an inter-social system, transversal to many areas of everyday life: the family unit, the friendly group, the school, the workplaces, the media systems convey different sound imprints that meet, clash, participating in the definition of the identity of the individual who, even unknowingly, he builds his own self starting from the musical solicitations he experienced. We can say, therefore, that the quality and quantity of environmental musical experiences, at every level, contribute to the development of the sound personality of each person</w:t>
      </w:r>
    </w:p>
    <w:p w14:paraId="7C33ED43" w14:textId="77777777" w:rsidR="005A1AB5" w:rsidRPr="005A1AB5" w:rsidRDefault="005A1AB5" w:rsidP="005A1AB5">
      <w:pPr>
        <w:rPr>
          <w:lang w:val="en-GB"/>
        </w:rPr>
      </w:pPr>
      <w:r w:rsidRPr="005A1AB5">
        <w:rPr>
          <w:lang w:val="en-GB"/>
        </w:rPr>
        <w:t xml:space="preserve">- </w:t>
      </w:r>
      <w:r w:rsidRPr="005A1AB5">
        <w:rPr>
          <w:b/>
          <w:bCs/>
          <w:lang w:val="en-GB"/>
        </w:rPr>
        <w:t>Music as "Practice Community"</w:t>
      </w:r>
    </w:p>
    <w:p w14:paraId="62D87FC5" w14:textId="6F221959" w:rsidR="004A757F" w:rsidRDefault="005A1AB5" w:rsidP="005A1AB5">
      <w:pPr>
        <w:rPr>
          <w:lang w:val="en-GB"/>
        </w:rPr>
      </w:pPr>
      <w:r w:rsidRPr="005A1AB5">
        <w:rPr>
          <w:lang w:val="en-GB"/>
        </w:rPr>
        <w:t>"Making music" means first of all organizing a structure of relationships between individuals who, knowingly, cover different roles and tasks (think of the conductor and the different musicians who play different instruments) to reach a common goal: the execution musical. In this sense, around the instrumental piece, a "practical community" is formed, as described by Wenger (1998). The musical product can become, therefore, the didactic opportunity to co-construct inclusive paths within which the differentiation of tasks is not only desirable, but necessary for good sound realization.</w:t>
      </w:r>
    </w:p>
    <w:p w14:paraId="79C939E0" w14:textId="7EF659AC" w:rsidR="004A757F" w:rsidRDefault="004A757F" w:rsidP="00B55A17">
      <w:pPr>
        <w:rPr>
          <w:lang w:val="en-GB"/>
        </w:rPr>
      </w:pPr>
    </w:p>
    <w:p w14:paraId="4BDB1A7D" w14:textId="59110FF6" w:rsidR="001B038D" w:rsidRDefault="001B038D" w:rsidP="00B55A17">
      <w:pPr>
        <w:pStyle w:val="Titolo1"/>
        <w:rPr>
          <w:lang w:val="en-GB"/>
        </w:rPr>
      </w:pPr>
      <w:r w:rsidRPr="001B038D">
        <w:rPr>
          <w:lang w:val="en-GB"/>
        </w:rPr>
        <w:t>Making music between analogue paths and digital possibilities</w:t>
      </w:r>
    </w:p>
    <w:p w14:paraId="11BC43EF" w14:textId="77777777" w:rsidR="001B038D" w:rsidRDefault="001B038D" w:rsidP="001B038D">
      <w:pPr>
        <w:pStyle w:val="Titolo3"/>
        <w:numPr>
          <w:ilvl w:val="0"/>
          <w:numId w:val="0"/>
        </w:numPr>
        <w:rPr>
          <w:bCs w:val="0"/>
          <w:i w:val="0"/>
          <w:sz w:val="20"/>
          <w:szCs w:val="24"/>
        </w:rPr>
      </w:pPr>
      <w:r w:rsidRPr="001B038D">
        <w:rPr>
          <w:bCs w:val="0"/>
          <w:i w:val="0"/>
          <w:sz w:val="20"/>
          <w:szCs w:val="24"/>
        </w:rPr>
        <w:t>The reflection on the interpenetration between didactic action and digital tools has become more and more current and essential in today's social context: the salience with which the most recent technologies are changing the way of life of human beings and the speed with which they fit into different domains of everyday life, modifying their functioning, are the peculiarities of the contemporary world. If school and music in school want to try to trace the digital education of the present and the future, they must first try to describe and understand this phenomenon in order to "anticipate" it in education to avoid "chasing it" with ineffective results.</w:t>
      </w:r>
    </w:p>
    <w:p w14:paraId="12314175" w14:textId="45B125C0" w:rsidR="00A63A1F" w:rsidRPr="002109C3" w:rsidRDefault="00A63A1F" w:rsidP="002109C3">
      <w:pPr>
        <w:pStyle w:val="Titolo3"/>
        <w:numPr>
          <w:ilvl w:val="0"/>
          <w:numId w:val="0"/>
        </w:numPr>
        <w:rPr>
          <w:lang w:val="en-GB"/>
        </w:rPr>
      </w:pPr>
      <w:r>
        <w:rPr>
          <w:lang w:val="en-GB"/>
        </w:rPr>
        <w:t xml:space="preserve">2.1 </w:t>
      </w:r>
      <w:r w:rsidR="002109C3" w:rsidRPr="002109C3">
        <w:rPr>
          <w:lang w:val="en-GB"/>
        </w:rPr>
        <w:t>The connectionist (or emergentist) model</w:t>
      </w:r>
      <w:r w:rsidR="002109C3">
        <w:rPr>
          <w:lang w:val="en-GB"/>
        </w:rPr>
        <w:t xml:space="preserve"> </w:t>
      </w:r>
      <w:r w:rsidR="002109C3" w:rsidRPr="002109C3">
        <w:rPr>
          <w:lang w:val="en-GB"/>
        </w:rPr>
        <w:t>and technology enhanced learning</w:t>
      </w:r>
    </w:p>
    <w:p w14:paraId="1F9E429E" w14:textId="74D5A4A8" w:rsidR="002109C3" w:rsidRDefault="002109C3" w:rsidP="00A63A1F">
      <w:r w:rsidRPr="002109C3">
        <w:t xml:space="preserve">To understand what role the school environment can play in the information society, we can start by presenting the connectionist or emergentist model of the theories of the mind established in the last twenty years of the last century. Trying to describe the functioning of the human mind, with the aim of applying to the machine what is already structured in nature, connectionism evolves and distinguishes itself from cybernetic computationalism and the more classical Cognitivism by focusing its attention on the interaction of neuronal networks with the environment that explains the growth and evolution of the mind (Ferri, 2013). It is the quantity and quality of connections that contribute to the development of the human being, which proceeds in a path of continuous adaptation with the environment and of modeling through experiences. Not only psychology and computer science can contribute to the reflection on the relationship between man and technology. According to Clifford Geertz, one of the formative fathers of modern Cultural Anthropology, every cultural object can be defined as "a structure of historically transmitted meanings, embodied, in symbols, a system of inherited conceptions </w:t>
      </w:r>
      <w:r w:rsidRPr="002109C3">
        <w:lastRenderedPageBreak/>
        <w:t>expressed in symbolic forms by which men communicate , perpetuate and develop their knowledge and attitudes towards life "(Geertz, 1973). Geertz seems to suggest that the training tools that generate cultural products are not static elements independent of the relationship with the social context, but, precisely because they are useful for describing historical, cultural and social variables, they must be able to change over time and transmit knowledge according to paths always new and understandable.</w:t>
      </w:r>
    </w:p>
    <w:p w14:paraId="431AC548" w14:textId="12480E9D" w:rsidR="002109C3" w:rsidRDefault="002109C3" w:rsidP="00A63A1F">
      <w:r w:rsidRPr="002109C3">
        <w:t>We can now return to talk about school, education and training, inheriting the concepts just explained and declinating them within the paradigms that study learning and the development paths of the individual. If it is true that it is the connections that give form and value to cultural products, it is equally true to speak of school as a privileged platform for the construction of learning environments that present and consolidate the virtuous relations between the abilities of the human being learner and the cultural products of society: it is up to teaching to find current strategies to foster the interaction between the knowledge and practices of the past, the legacy of a long and complex process of social and cultural assimilation, and the new products of today's technologies. Staying out of this process or avoiding thematization in training discourse risks "disconnecting" the school itself from the intricate network of real and virtual connections that today characterize the structure of society: the lesson must be the most significant, for a student, within whom to meet the complexity of the technological structures and processes that affect everyone's life, to give them meaning, to gain control and avoid being controlled. The speed of technological changes must not, then, frighten teachers and, more generally, the adult world: one of the most important added values ​​of the experience acquired over time can be precisely that ability to look at novelty with a critical eye, putting a comparison of what is presented as "new" with what seems to belong to the "past", recognizing and reflecting on the new forms with which the contents can always be communicated.</w:t>
      </w:r>
    </w:p>
    <w:p w14:paraId="2AE6F0F1" w14:textId="77777777" w:rsidR="002109C3" w:rsidRDefault="002109C3" w:rsidP="002109C3">
      <w:r>
        <w:t>In this view of the relationship between education and new technologies we can therefore talk about</w:t>
      </w:r>
    </w:p>
    <w:p w14:paraId="71654DD0" w14:textId="7F48968A" w:rsidR="002109C3" w:rsidRDefault="002109C3" w:rsidP="002109C3">
      <w:r>
        <w:t>technology enhanced learning (learning enhanced by technology), a paradigm in which computers, tablets, smartphones, the network must not be understood either as "instructors" of the educational process, nor as sources of neutral information / training that does not interact and does not change the characteristics of the educational environment: the learning environment becomes, instead, a real and virtual space rich in means, tools, learning support, in which the learner is the protagonist of the construction of his own knowledge (behaviors, attitudes, skills, contents) and in which we collaborate, cooperate, exchange experiences, share knowledge (Calvani, 2013; Ferri, Mantovani, 2008). To "ferry" the school system to digital in all respects as described above, it is essential to enable every class technologically to make group work in a learning perspective possible between the educational activities, the laboratory by doing. The learning system will thus have access to physical environments (classes) and virtual environments (cloud systems, virtual classroom, ...) that will allow them to share their work even outside the context of their classmates, to continue the work of deepening beyond school time and use of online tutoring and monitoring systems.</w:t>
      </w:r>
    </w:p>
    <w:p w14:paraId="1EC42A64" w14:textId="669AF459" w:rsidR="002109C3" w:rsidRDefault="002109C3" w:rsidP="002109C3"/>
    <w:p w14:paraId="5EF24B99" w14:textId="40B8F216" w:rsidR="002109C3" w:rsidRPr="002109C3" w:rsidRDefault="002109C3" w:rsidP="002109C3">
      <w:pPr>
        <w:pStyle w:val="Titolo3"/>
        <w:numPr>
          <w:ilvl w:val="0"/>
          <w:numId w:val="0"/>
        </w:numPr>
        <w:ind w:left="720" w:hanging="720"/>
        <w:rPr>
          <w:lang w:val="en-GB"/>
        </w:rPr>
      </w:pPr>
      <w:r>
        <w:rPr>
          <w:lang w:val="en-GB"/>
        </w:rPr>
        <w:t>2.</w:t>
      </w:r>
      <w:r>
        <w:rPr>
          <w:lang w:val="en-GB"/>
        </w:rPr>
        <w:t>2</w:t>
      </w:r>
      <w:r>
        <w:rPr>
          <w:lang w:val="en-GB"/>
        </w:rPr>
        <w:t xml:space="preserve"> </w:t>
      </w:r>
      <w:r w:rsidRPr="002109C3">
        <w:rPr>
          <w:lang w:val="en-GB"/>
        </w:rPr>
        <w:t>Music education:</w:t>
      </w:r>
      <w:r>
        <w:rPr>
          <w:lang w:val="en-GB"/>
        </w:rPr>
        <w:t xml:space="preserve"> </w:t>
      </w:r>
      <w:r w:rsidRPr="002109C3">
        <w:rPr>
          <w:lang w:val="en-GB"/>
        </w:rPr>
        <w:t>meeting point between analog and digital world</w:t>
      </w:r>
    </w:p>
    <w:p w14:paraId="1DEBFA2B" w14:textId="77777777" w:rsidR="002109C3" w:rsidRDefault="002109C3" w:rsidP="002109C3">
      <w:r>
        <w:t>How is it possible to imagine a musical journey in the school of the new millennium? Which tools should be preferred to trigger virtuous learning processes that motivate the student to discover and apply knowledge? What is the relationship between analogue paths and digital processes?</w:t>
      </w:r>
    </w:p>
    <w:p w14:paraId="4713E45D" w14:textId="045F2BA1" w:rsidR="002109C3" w:rsidRDefault="002109C3" w:rsidP="002109C3">
      <w:r>
        <w:t xml:space="preserve">Music teaching has the opportunity to address some crucial challenges in the training landscape of students of all ages, the first of which could be its avant-garde positioning, within the corpus of scholastic disciplines, as a field of strong interaction between analogue activities and digital tools. In the last decades the digitization of products, instruments, musical processes has revolutionized the way of knowing interpreting the sound phenomenon. We live in the possibility of having access to a panorama of styles, genres, traditions, musical extractions almost exterminated through platforms that, over the years, have collected and are collecting the sound production of all times and from all parts of the world; even the world of music production has become an asset for anyone who approaches the many sound recording and manipulation software. In this apparently so open and boundless context, that cultural paradox comes forward for which, despite having at its disposal any cultural product, an individual is unable to know anything of what he enjoys: accessibility is not always synonymous with awareness. Here the highly educational role of the school environment can come into play as a "platform" that gives meaning to the network, which delivers the critical categories for a conscious approach to the global music phenomenon, which guides aesthetic choices and prepares future </w:t>
      </w:r>
      <w:r>
        <w:lastRenderedPageBreak/>
        <w:t>conscious behaviors. "Learning to listen" could be the label to be assigned to this corpus of skills and competences (because the listening activity always needs the active and responsible intervention of the subject), through which to value the precious support of digital tools in function of critical freedom of the listener.</w:t>
      </w:r>
    </w:p>
    <w:p w14:paraId="3481C8E8" w14:textId="77777777" w:rsidR="00BE5044" w:rsidRDefault="002109C3" w:rsidP="00BE5044">
      <w:r w:rsidRPr="002109C3">
        <w:t>If the digital world gives us infinite material on which to put listening skills into play, it is good to remember that the instrumental practice is, first of all, analogical. It is configured as a physical encounter with an instrument other than itself (or as an ability to manage one's own voice as a tool): perceptual and motor organization skills contribute, over time and space, to the management of the relationship between body and instrument to inside the container for the musical performance. "Suonare" is an activity that concerns both the "musical programming" (as also many software today allow to do), but also the management of the hic et nunc movement, as well as the interpretation of the sound feedbacks for the modulation of one's behavior executive: these multiple characteristics of instrumental performance can be experienced and implemented through analogue, not digital training. The technological tool can intervene to support the activity when, for example, it is possible to record its own execution to critically observe, a posteriori, which improvement objectives to pursue. Digital platforms also make it possible to construct (with the appropriate knowledge of the fundamental laws governing the harmonious organization of a piece) musical bases supporting one's own singing and instrumental performances: the intervention of technology, even in this case, does not replace the centrality of the analogical action, but completes it. It is possible, in reference to educational didactic paths, to talk about blended learning, that is the didactic paradigm that sees the coexistence of different operative moments (analogical and digital, in presence and at distance, in the classroom and on online platforms) that contribute , in a complementary manner, to the achievement of the same formative objective: a current, not naive, perspective that opens the doors to technological development in the light of the legacy of the past.</w:t>
      </w:r>
    </w:p>
    <w:p w14:paraId="4C43A8C2" w14:textId="77777777" w:rsidR="00BE5044" w:rsidRDefault="00BE5044" w:rsidP="00BE5044"/>
    <w:p w14:paraId="537667AF" w14:textId="77777777" w:rsidR="00BE5044" w:rsidRDefault="00D331A1" w:rsidP="00BE5044">
      <w:pPr>
        <w:pStyle w:val="Titolo1"/>
        <w:rPr>
          <w:lang w:val="en-GB"/>
        </w:rPr>
      </w:pPr>
      <w:r w:rsidRPr="002109C3">
        <w:rPr>
          <w:lang w:val="en-GB"/>
        </w:rPr>
        <w:t>CONCLUSIONS</w:t>
      </w:r>
      <w:r w:rsidR="002109C3">
        <w:rPr>
          <w:lang w:val="en-GB"/>
        </w:rPr>
        <w:t>, IE A STARTING POINT</w:t>
      </w:r>
    </w:p>
    <w:p w14:paraId="57482719" w14:textId="77777777" w:rsidR="00BE5044" w:rsidRDefault="00BE5044" w:rsidP="00BE5044">
      <w:pPr>
        <w:rPr>
          <w:lang w:val="en-GB"/>
        </w:rPr>
      </w:pPr>
    </w:p>
    <w:p w14:paraId="6BF2A628" w14:textId="72197FC9" w:rsidR="00BE5044" w:rsidRDefault="00B7374C" w:rsidP="00BE5044">
      <w:pPr>
        <w:rPr>
          <w:lang w:val="en-GB"/>
        </w:rPr>
      </w:pPr>
      <w:r w:rsidRPr="00B7374C">
        <w:rPr>
          <w:lang w:val="en-GB"/>
        </w:rPr>
        <w:t>The discourse on Music cannot be monolithic, monothematic and unidirectional: it is the sound phenomenon itself that, as it is constituted, leads the observer towards multiple interpretations and innumerable paths of knowledge. Music has its own theoretical, technical and practical structure, is defined through rational and emotional variables, has to do with the cognitive development of the individual, produces and modifies the context in which it develops, creates interactions between people, ideas, traditions and cultures, allows the construction of inclusive paths and defines a profitable relationship between the analogical and digital worlds. In the various chapters of this manual we will try to deepen, without any exhaustive intent, the themes mentioned above which, in our opinion, can lead the reader to an understanding of the fascinating complexity of the sound phenomenon that almost naturally leads to the acquisition of that deep sense of responsibility concerning the design of sufficiently good and complete musical educational paths.</w:t>
      </w:r>
    </w:p>
    <w:p w14:paraId="3ACEDFAC" w14:textId="77777777" w:rsidR="00BE5044" w:rsidRDefault="00B7374C" w:rsidP="00BE5044">
      <w:pPr>
        <w:rPr>
          <w:lang w:val="en-GB"/>
        </w:rPr>
      </w:pPr>
      <w:r w:rsidRPr="00B7374C">
        <w:rPr>
          <w:lang w:val="en-GB"/>
        </w:rPr>
        <w:t>Very often the teacher self-evaluates himself too little competent and expert to be able to organize musical activities appropriate to the class group and the educational objectives of reference and, even more often, he renounces to put into play his own know-how (even if contained) with the fear of propose something incorrect or unimportant. The turning point in musical education at school, along with a necessary individual preparation (which can start at the university level, but which must necessarily extend over a longer period of time), lies in the sharing of teachers' own knowledge, skills and musical skills with the support, if necessary, of professional figures who train teachers, even before the learners, in the knowledge and manipulation of the fundamental variables that constitute the musical world.</w:t>
      </w:r>
    </w:p>
    <w:p w14:paraId="069A34FD" w14:textId="7DDDA34E" w:rsidR="00B7374C" w:rsidRPr="00BE5044" w:rsidRDefault="00B7374C" w:rsidP="00BE5044">
      <w:r w:rsidRPr="00B7374C">
        <w:rPr>
          <w:lang w:val="en-GB"/>
        </w:rPr>
        <w:t>It is attributed to Maurits Cornelis Escher (1898-1972), a famous Dutch lithographer and engraver, a phrase that can describe well what we mean when we talk about music and, in particular, teaching music: "my work is a game, a very serious game ".</w:t>
      </w:r>
    </w:p>
    <w:p w14:paraId="4C6CC414" w14:textId="77777777" w:rsidR="00BE5044" w:rsidRDefault="00BE5044" w:rsidP="00B7374C">
      <w:pPr>
        <w:pStyle w:val="IATED-ACKREFERENCES"/>
      </w:pPr>
    </w:p>
    <w:p w14:paraId="534EBE8B" w14:textId="0610C546" w:rsidR="00B55A17" w:rsidRPr="0009240E" w:rsidRDefault="00B55A17" w:rsidP="00B7374C">
      <w:pPr>
        <w:pStyle w:val="IATED-ACKREFERENCES"/>
      </w:pPr>
      <w:r w:rsidRPr="0009240E">
        <w:t>REFERENCES</w:t>
      </w:r>
    </w:p>
    <w:p w14:paraId="3CC1667B" w14:textId="29E08431" w:rsidR="0009240E" w:rsidRDefault="0009240E" w:rsidP="0009240E">
      <w:pPr>
        <w:pStyle w:val="IATED-References"/>
      </w:pPr>
      <w:r w:rsidRPr="00B441B0">
        <w:t>B</w:t>
      </w:r>
      <w:r>
        <w:t>aricco,</w:t>
      </w:r>
      <w:r w:rsidRPr="00B441B0">
        <w:t xml:space="preserve"> A. (1996), L’anima di Hegel e le mucche del Wisconsin, Garzanti, Milano</w:t>
      </w:r>
    </w:p>
    <w:p w14:paraId="2F4CB040" w14:textId="299ED570" w:rsidR="0009240E" w:rsidRDefault="0009240E" w:rsidP="0009240E">
      <w:pPr>
        <w:pStyle w:val="IATED-References"/>
      </w:pPr>
      <w:r w:rsidRPr="00787297">
        <w:t xml:space="preserve">Bateson, G. (1977) </w:t>
      </w:r>
      <w:r w:rsidRPr="00787297">
        <w:rPr>
          <w:i/>
        </w:rPr>
        <w:t>Verso un'ecologia della mente</w:t>
      </w:r>
      <w:r w:rsidRPr="00787297">
        <w:t>, Milano, Adelphi</w:t>
      </w:r>
    </w:p>
    <w:p w14:paraId="5765C990" w14:textId="1E52CCB7" w:rsidR="0009240E" w:rsidRPr="00175BFF" w:rsidRDefault="0009240E" w:rsidP="0009240E">
      <w:pPr>
        <w:pStyle w:val="IATED-References"/>
      </w:pPr>
      <w:r w:rsidRPr="00175BFF">
        <w:t>Blandino</w:t>
      </w:r>
      <w:r>
        <w:t xml:space="preserve">, G. (2008), </w:t>
      </w:r>
      <w:r w:rsidRPr="00175BFF">
        <w:t>Quando insegnare non è più un piacere. La scuola difficile, proposte per insegnanti e formatori</w:t>
      </w:r>
      <w:r>
        <w:t>, Cortina Editore, Milano</w:t>
      </w:r>
    </w:p>
    <w:p w14:paraId="4EAB6BAB" w14:textId="716BBF5C" w:rsidR="0009240E" w:rsidRDefault="0009240E" w:rsidP="0009240E">
      <w:pPr>
        <w:pStyle w:val="IATED-References"/>
      </w:pPr>
      <w:r>
        <w:t xml:space="preserve">Bronfenbrenner, U (1986), </w:t>
      </w:r>
      <w:r w:rsidRPr="00866A25">
        <w:rPr>
          <w:i/>
        </w:rPr>
        <w:t>Ecologia dello sviluppo umano</w:t>
      </w:r>
      <w:r>
        <w:t>, Il Mulino, Bologna</w:t>
      </w:r>
    </w:p>
    <w:p w14:paraId="53F73B37" w14:textId="154C4620" w:rsidR="0009240E" w:rsidRDefault="0009240E" w:rsidP="0009240E">
      <w:pPr>
        <w:pStyle w:val="IATED-References"/>
      </w:pPr>
      <w:r>
        <w:t xml:space="preserve">Calvani, A. (2013), </w:t>
      </w:r>
      <w:r w:rsidRPr="0029583F">
        <w:t>I nuovi media nella scuola. Perché, come, quando avvalersene</w:t>
      </w:r>
      <w:r>
        <w:t>, Carocci, Roma</w:t>
      </w:r>
    </w:p>
    <w:p w14:paraId="0A7648C7" w14:textId="5410821D" w:rsidR="0009240E" w:rsidRDefault="0009240E" w:rsidP="0009240E">
      <w:pPr>
        <w:pStyle w:val="IATED-References"/>
      </w:pPr>
      <w:r w:rsidRPr="006538BC">
        <w:t>Damiano</w:t>
      </w:r>
      <w:r>
        <w:t xml:space="preserve">, E. (2013), </w:t>
      </w:r>
      <w:r w:rsidRPr="006538BC">
        <w:t>La mediazione didattica. Per una teoria dell'insegnamento</w:t>
      </w:r>
      <w:r>
        <w:t>, Franco Angeli, Milano</w:t>
      </w:r>
    </w:p>
    <w:p w14:paraId="0B1C3358" w14:textId="16C88332" w:rsidR="0009240E" w:rsidRDefault="0009240E" w:rsidP="0009240E">
      <w:pPr>
        <w:pStyle w:val="IATED-References"/>
      </w:pPr>
      <w:r w:rsidRPr="00D37818">
        <w:t xml:space="preserve">Elman, J., Bates, E., Karmiloff-Smith, A., Johnson, M., Parisi, D. e Plunkett, K. (1996), </w:t>
      </w:r>
      <w:r w:rsidRPr="00D37818">
        <w:rPr>
          <w:i/>
        </w:rPr>
        <w:t>Rethinking Innatness: a connectionist perspective on development</w:t>
      </w:r>
      <w:r w:rsidRPr="00D37818">
        <w:t>, Cambridge (Mass.): The MIT Press.</w:t>
      </w:r>
    </w:p>
    <w:p w14:paraId="6649C352" w14:textId="418A531A" w:rsidR="0009240E" w:rsidRDefault="0009240E" w:rsidP="0009240E">
      <w:pPr>
        <w:pStyle w:val="IATED-References"/>
      </w:pPr>
      <w:r w:rsidRPr="001F2EB0">
        <w:t>Emery</w:t>
      </w:r>
      <w:r>
        <w:t xml:space="preserve">, </w:t>
      </w:r>
      <w:r w:rsidRPr="001F2EB0">
        <w:t xml:space="preserve">F. E. </w:t>
      </w:r>
      <w:r>
        <w:t xml:space="preserve"> (a cura di) (1994), </w:t>
      </w:r>
      <w:r w:rsidRPr="001F2EB0">
        <w:t>La teoria dei sistemi. Presupposti, caratteristiche e sviluppi del pensiero sistemico</w:t>
      </w:r>
      <w:r>
        <w:t>, Franco Angeli, Milano</w:t>
      </w:r>
    </w:p>
    <w:p w14:paraId="73EBDB08" w14:textId="01B431F2" w:rsidR="0009240E" w:rsidRDefault="0009240E" w:rsidP="0009240E">
      <w:pPr>
        <w:pStyle w:val="IATED-References"/>
      </w:pPr>
      <w:r w:rsidRPr="0029583F">
        <w:t>Ferri</w:t>
      </w:r>
      <w:r>
        <w:t xml:space="preserve">, </w:t>
      </w:r>
      <w:r w:rsidRPr="0029583F">
        <w:t>P.</w:t>
      </w:r>
      <w:r>
        <w:t>,</w:t>
      </w:r>
      <w:r w:rsidRPr="0029583F">
        <w:t xml:space="preserve"> Mantovani</w:t>
      </w:r>
      <w:r>
        <w:t xml:space="preserve">, </w:t>
      </w:r>
      <w:r w:rsidRPr="0029583F">
        <w:t>S. (2008), (a cura di), Digital kids. Come i bambini usano il computer e come potrebbero usarlo genitori e insegnanti, Etas-Fondazione IBM, 2008</w:t>
      </w:r>
    </w:p>
    <w:p w14:paraId="13AC894D" w14:textId="2308AE93" w:rsidR="0009240E" w:rsidRDefault="0009240E" w:rsidP="0009240E">
      <w:pPr>
        <w:pStyle w:val="IATED-References"/>
      </w:pPr>
      <w:r>
        <w:t xml:space="preserve">Ferri, P. (2013), </w:t>
      </w:r>
      <w:r w:rsidRPr="008B5D22">
        <w:t>La scuola 2.0. Verso una didattica aumentata dalle tecnologie</w:t>
      </w:r>
      <w:r>
        <w:t>, Spaggiari, Parma</w:t>
      </w:r>
    </w:p>
    <w:p w14:paraId="1A2BBE32" w14:textId="2E0053B8" w:rsidR="0009240E" w:rsidRDefault="0009240E" w:rsidP="0009240E">
      <w:pPr>
        <w:pStyle w:val="IATED-References"/>
      </w:pPr>
      <w:r>
        <w:t>Garavaglia, A. (2010),</w:t>
      </w:r>
      <w:r w:rsidRPr="007C2B31">
        <w:t xml:space="preserve"> Didattica on line. Dai modelli alle tecniche. Milano : Unicopli.</w:t>
      </w:r>
    </w:p>
    <w:p w14:paraId="0E841088" w14:textId="2DC9FE85" w:rsidR="0009240E" w:rsidRDefault="0009240E" w:rsidP="0009240E">
      <w:pPr>
        <w:pStyle w:val="IATED-References"/>
      </w:pPr>
      <w:r>
        <w:t xml:space="preserve">Geertz, C. (1973), trad.it. (1998), </w:t>
      </w:r>
      <w:r w:rsidRPr="008C3E6F">
        <w:rPr>
          <w:i/>
          <w:iCs/>
        </w:rPr>
        <w:t>Interpretazione di culture</w:t>
      </w:r>
      <w:r>
        <w:t>, Il Mulino, Bologna</w:t>
      </w:r>
    </w:p>
    <w:p w14:paraId="36AE0CA0" w14:textId="77CA2B36" w:rsidR="0009240E" w:rsidRDefault="0009240E" w:rsidP="0009240E">
      <w:pPr>
        <w:pStyle w:val="IATED-References"/>
      </w:pPr>
      <w:r w:rsidRPr="00AB7A43">
        <w:t>Gilles Lipovetsky</w:t>
      </w:r>
      <w:r>
        <w:rPr>
          <w:i/>
        </w:rPr>
        <w:t xml:space="preserve">, </w:t>
      </w:r>
      <w:r w:rsidRPr="00AB7A43">
        <w:rPr>
          <w:i/>
        </w:rPr>
        <w:t>Les temps hypermodernes</w:t>
      </w:r>
      <w:r w:rsidRPr="00AB7A43">
        <w:t>, Grasset, Paris 2004</w:t>
      </w:r>
    </w:p>
    <w:p w14:paraId="4F09382E" w14:textId="3CD218CE" w:rsidR="0009240E" w:rsidRDefault="0009240E" w:rsidP="0009240E">
      <w:pPr>
        <w:pStyle w:val="IATED-References"/>
      </w:pPr>
      <w:r w:rsidRPr="001B60CC">
        <w:t>Gottlieb, G. (1992), Individual Development and Evolution: the Genesis of Novel Behaviour, Oxford: The Oxford University Press.</w:t>
      </w:r>
    </w:p>
    <w:p w14:paraId="04A0EAB1" w14:textId="2E7B2740" w:rsidR="0009240E" w:rsidRDefault="0009240E" w:rsidP="0009240E">
      <w:pPr>
        <w:pStyle w:val="IATED-References"/>
      </w:pPr>
      <w:r w:rsidRPr="00D37818">
        <w:t xml:space="preserve">Johnson, M.H. (2001), </w:t>
      </w:r>
      <w:r w:rsidRPr="00D37818">
        <w:rPr>
          <w:i/>
        </w:rPr>
        <w:t>Functional brain development in humans</w:t>
      </w:r>
      <w:r w:rsidRPr="00D37818">
        <w:t>, in “Nature Reviews Neuroscience”, 2, pp. 475-483</w:t>
      </w:r>
    </w:p>
    <w:p w14:paraId="4F02DE16" w14:textId="64B382DF" w:rsidR="0009240E" w:rsidRDefault="0009240E" w:rsidP="0009240E">
      <w:pPr>
        <w:pStyle w:val="IATED-References"/>
      </w:pPr>
      <w:r>
        <w:t xml:space="preserve">Lewin, Kurt (2005), </w:t>
      </w:r>
      <w:r w:rsidRPr="004E14A4">
        <w:rPr>
          <w:i/>
        </w:rPr>
        <w:t>La teoria, la ricerca, l'intervento</w:t>
      </w:r>
      <w:r>
        <w:t>, Il Mulino, Bologna</w:t>
      </w:r>
    </w:p>
    <w:p w14:paraId="1FFBED0D" w14:textId="128DFDF8" w:rsidR="0009240E" w:rsidRDefault="0009240E" w:rsidP="0009240E">
      <w:pPr>
        <w:pStyle w:val="IATED-References"/>
      </w:pPr>
      <w:r w:rsidRPr="004C12D5">
        <w:t>Lipsky, D.K., &amp; Gartner, A. (1997). Inclusion and school reform: Transforming America's classrooms. Baltimore, MD: Brooks</w:t>
      </w:r>
    </w:p>
    <w:p w14:paraId="0CD8F649" w14:textId="05A37767" w:rsidR="0009240E" w:rsidRDefault="0009240E" w:rsidP="0009240E">
      <w:pPr>
        <w:pStyle w:val="IATED-References"/>
      </w:pPr>
      <w:r w:rsidRPr="00563564">
        <w:t xml:space="preserve">Luria, A. R. (1976). </w:t>
      </w:r>
      <w:r w:rsidRPr="00563564">
        <w:rPr>
          <w:i/>
        </w:rPr>
        <w:t>Cognitive development its cultural and social foundations. Cambridge</w:t>
      </w:r>
      <w:r w:rsidRPr="00563564">
        <w:t>, Massachusetts &amp; London: Harvard University Press.</w:t>
      </w:r>
    </w:p>
    <w:p w14:paraId="42DB6658" w14:textId="7E37C2CA" w:rsidR="0009240E" w:rsidRDefault="0009240E" w:rsidP="0009240E">
      <w:pPr>
        <w:pStyle w:val="IATED-References"/>
      </w:pPr>
      <w:r w:rsidRPr="00333C21">
        <w:t xml:space="preserve">Macchi Cassia, V., Valenza, E., Simion, F. (2012), </w:t>
      </w:r>
      <w:r w:rsidRPr="00333C21">
        <w:rPr>
          <w:i/>
        </w:rPr>
        <w:t>Lo sviluppo della mente umana</w:t>
      </w:r>
      <w:r w:rsidRPr="00333C21">
        <w:t>, Bologna: Il Mulino.</w:t>
      </w:r>
    </w:p>
    <w:p w14:paraId="62ADBBB3" w14:textId="3C4FB6CA" w:rsidR="0009240E" w:rsidRDefault="0009240E" w:rsidP="0009240E">
      <w:pPr>
        <w:pStyle w:val="IATED-References"/>
      </w:pPr>
      <w:r>
        <w:t xml:space="preserve">Nigris, E., Teruggi, L.A., Zuccoli, F. (2016), </w:t>
      </w:r>
      <w:r w:rsidRPr="000A6BCD">
        <w:rPr>
          <w:i/>
        </w:rPr>
        <w:t>Didattica Generale</w:t>
      </w:r>
      <w:r>
        <w:t>, Pearson, Milan</w:t>
      </w:r>
    </w:p>
    <w:p w14:paraId="1F7C5AFA" w14:textId="7447908F" w:rsidR="0009240E" w:rsidRDefault="0009240E" w:rsidP="0009240E">
      <w:pPr>
        <w:pStyle w:val="IATED-References"/>
      </w:pPr>
      <w:r>
        <w:t>Pavone, M (2014</w:t>
      </w:r>
      <w:r w:rsidRPr="009A16AE">
        <w:rPr>
          <w:i/>
        </w:rPr>
        <w:t>)</w:t>
      </w:r>
      <w:r w:rsidRPr="009A16AE">
        <w:t>,</w:t>
      </w:r>
      <w:r w:rsidRPr="009A16AE">
        <w:rPr>
          <w:i/>
        </w:rPr>
        <w:t xml:space="preserve"> L’inclusione educativa</w:t>
      </w:r>
      <w:r>
        <w:t>, Mondadori Università, Milano</w:t>
      </w:r>
    </w:p>
    <w:p w14:paraId="1DE6C729" w14:textId="6AF0F92F" w:rsidR="0009240E" w:rsidRPr="009B2C32" w:rsidRDefault="0009240E" w:rsidP="0009240E">
      <w:pPr>
        <w:pStyle w:val="IATED-References"/>
      </w:pPr>
      <w:r w:rsidRPr="009B2C32">
        <w:t xml:space="preserve">Piaget, J. (1923), </w:t>
      </w:r>
      <w:r w:rsidRPr="009B2C32">
        <w:rPr>
          <w:i/>
        </w:rPr>
        <w:t>Le langage et la pensée chez l’enfant, Neuchatel: Delachaux et Nieslté</w:t>
      </w:r>
      <w:r w:rsidRPr="009B2C32">
        <w:t xml:space="preserve"> (tr.it. Il linguaggio e il pensiero del Fanciullo, Firenze: Giunti, 1962).</w:t>
      </w:r>
    </w:p>
    <w:p w14:paraId="12CA3D8C" w14:textId="501CD5EA" w:rsidR="0009240E" w:rsidRPr="009B2C32" w:rsidRDefault="0009240E" w:rsidP="0009240E">
      <w:pPr>
        <w:pStyle w:val="IATED-References"/>
      </w:pPr>
      <w:r w:rsidRPr="009B2C32">
        <w:t xml:space="preserve">Piaget, J. (1936), </w:t>
      </w:r>
      <w:r w:rsidRPr="009B2C32">
        <w:rPr>
          <w:i/>
        </w:rPr>
        <w:t>La naissance de l’intelligence chex l’enfant, Neuchatel: Delachaux et Nieslté</w:t>
      </w:r>
      <w:r w:rsidRPr="009B2C32">
        <w:t xml:space="preserve"> (tr.it. La nascita dell’intelligenza nel fanciullo, Firenze: Editrice Universitaria, 1968).</w:t>
      </w:r>
    </w:p>
    <w:p w14:paraId="0BB190C0" w14:textId="2ABD7D86" w:rsidR="0009240E" w:rsidRPr="009B2C32" w:rsidRDefault="0009240E" w:rsidP="0009240E">
      <w:pPr>
        <w:pStyle w:val="IATED-References"/>
      </w:pPr>
      <w:r w:rsidRPr="009B2C32">
        <w:t xml:space="preserve">Piaget, J. (1964), </w:t>
      </w:r>
      <w:r w:rsidRPr="009B2C32">
        <w:rPr>
          <w:i/>
        </w:rPr>
        <w:t>Six études de Psychologie, Paris: Gonthier</w:t>
      </w:r>
      <w:r w:rsidRPr="009B2C32">
        <w:t xml:space="preserve"> (tr.it. Lo sviluppo mentale del bambino e altri studi di psicologia, Torino: Einaudi, 1967).</w:t>
      </w:r>
    </w:p>
    <w:p w14:paraId="576C0104" w14:textId="6AB06B16" w:rsidR="0009240E" w:rsidRDefault="0009240E" w:rsidP="0009240E">
      <w:pPr>
        <w:pStyle w:val="IATED-References"/>
      </w:pPr>
      <w:r w:rsidRPr="009B2C32">
        <w:t xml:space="preserve">Piaget, J. (1967), </w:t>
      </w:r>
      <w:r w:rsidRPr="009B2C32">
        <w:rPr>
          <w:i/>
        </w:rPr>
        <w:t>Biologie et connaissance, Paris: Gallimard</w:t>
      </w:r>
      <w:r w:rsidRPr="009B2C32">
        <w:t xml:space="preserve"> (tr.it. Biologia e conoscenza, Torino: Einaudi, 1983).</w:t>
      </w:r>
    </w:p>
    <w:p w14:paraId="0FE6C448" w14:textId="3B61D041" w:rsidR="0009240E" w:rsidRPr="003E0406" w:rsidRDefault="0009240E" w:rsidP="0009240E">
      <w:pPr>
        <w:pStyle w:val="IATED-References"/>
      </w:pPr>
      <w:r>
        <w:lastRenderedPageBreak/>
        <w:t xml:space="preserve">Rivoltella, P.C. (2014), </w:t>
      </w:r>
      <w:r w:rsidRPr="003E0406">
        <w:t>La previsione. Neuroscienze, apprendimento, didattica</w:t>
      </w:r>
      <w:r>
        <w:t>, La Scuola, Brescia</w:t>
      </w:r>
    </w:p>
    <w:p w14:paraId="2304AC3D" w14:textId="77777777" w:rsidR="0009240E" w:rsidRDefault="0009240E" w:rsidP="0009240E">
      <w:pPr>
        <w:pStyle w:val="IATED-References"/>
      </w:pPr>
      <w:r w:rsidRPr="00333C21">
        <w:t xml:space="preserve">Spelke, E.S. (1990), </w:t>
      </w:r>
      <w:r w:rsidRPr="00333C21">
        <w:rPr>
          <w:i/>
        </w:rPr>
        <w:t>Principles of object perception</w:t>
      </w:r>
      <w:r w:rsidRPr="00333C21">
        <w:t>, in “Cognitive Science”, 14, pp. 29-56.</w:t>
      </w:r>
    </w:p>
    <w:p w14:paraId="79B8D6F0" w14:textId="383491C3" w:rsidR="0009240E" w:rsidRDefault="0009240E" w:rsidP="0009240E">
      <w:pPr>
        <w:pStyle w:val="IATED-References"/>
      </w:pPr>
      <w:r>
        <w:t xml:space="preserve">Toschi, L. (2013), </w:t>
      </w:r>
      <w:r w:rsidRPr="00B039C2">
        <w:rPr>
          <w:i/>
        </w:rPr>
        <w:t>La comunicazione generativa</w:t>
      </w:r>
      <w:r>
        <w:t>, Apogeo Education (Rimini)</w:t>
      </w:r>
    </w:p>
    <w:p w14:paraId="72A4EF63" w14:textId="58D16297" w:rsidR="0009240E" w:rsidRDefault="0009240E" w:rsidP="0009240E">
      <w:pPr>
        <w:pStyle w:val="IATED-References"/>
      </w:pPr>
      <w:r w:rsidRPr="00CA0332">
        <w:t xml:space="preserve">Waddington, C.H. (1975), </w:t>
      </w:r>
      <w:r w:rsidRPr="00CA0332">
        <w:rPr>
          <w:i/>
        </w:rPr>
        <w:t>The Evolution of an Evolutionist, Edinburgh: Edinburgh University Press</w:t>
      </w:r>
      <w:r w:rsidRPr="00CA0332">
        <w:t xml:space="preserve"> (tr.it. L’evoluzione di un evoluzionista, Roma: Armando, 1979)</w:t>
      </w:r>
    </w:p>
    <w:p w14:paraId="2AEFF619" w14:textId="7BA3187D" w:rsidR="0009240E" w:rsidRDefault="0009240E" w:rsidP="0009240E">
      <w:pPr>
        <w:pStyle w:val="IATED-References"/>
      </w:pPr>
      <w:r>
        <w:t xml:space="preserve">Wallerstein, I. (1987), </w:t>
      </w:r>
      <w:r w:rsidRPr="002B7D8F">
        <w:t>The Construction of Peoplehood: Racism, Nationalism, Ethnicity</w:t>
      </w:r>
      <w:r>
        <w:t xml:space="preserve">, </w:t>
      </w:r>
      <w:r w:rsidRPr="002B7D8F">
        <w:t>Sociological Forum</w:t>
      </w:r>
      <w:r>
        <w:t xml:space="preserve"> </w:t>
      </w:r>
      <w:r w:rsidRPr="002B7D8F">
        <w:t>Vol. 2, No. 2 (Spring, 1987), pp. 373-388</w:t>
      </w:r>
    </w:p>
    <w:p w14:paraId="4B9D5DA5" w14:textId="41640901" w:rsidR="0009240E" w:rsidRDefault="0009240E" w:rsidP="0009240E">
      <w:pPr>
        <w:pStyle w:val="IATED-References"/>
      </w:pPr>
      <w:r w:rsidRPr="00444A31">
        <w:t>Wenger E. Communities of practice: learning, meaning and identity, Cambridge University Press, New York 1998; tr. it. Comunità di pratica. Apprendimento, significato e identità, Raffaello Cortina, Milano 2006</w:t>
      </w:r>
    </w:p>
    <w:p w14:paraId="7B2D9293" w14:textId="249C5942" w:rsidR="0009240E" w:rsidRDefault="0009240E" w:rsidP="0009240E">
      <w:pPr>
        <w:pStyle w:val="IATED-References"/>
      </w:pPr>
      <w:r>
        <w:t xml:space="preserve">Wing, J. (2006), </w:t>
      </w:r>
      <w:r w:rsidRPr="00CD0F5E">
        <w:rPr>
          <w:i/>
        </w:rPr>
        <w:t>Computational thinking</w:t>
      </w:r>
      <w:r>
        <w:t xml:space="preserve">, </w:t>
      </w:r>
      <w:r w:rsidRPr="00CD0F5E">
        <w:t>Communications of the ACM vol. 49, n° 3, Mars 2006, pp. 33-35</w:t>
      </w:r>
    </w:p>
    <w:p w14:paraId="6504736F" w14:textId="369762C2" w:rsidR="0009240E" w:rsidRDefault="0009240E" w:rsidP="0009240E">
      <w:pPr>
        <w:pStyle w:val="IATED-References"/>
      </w:pPr>
      <w:r w:rsidRPr="00DB6419">
        <w:t>Wood D., Bruner J. S., Ross G.</w:t>
      </w:r>
      <w:r>
        <w:t xml:space="preserve"> (1976)</w:t>
      </w:r>
      <w:r w:rsidRPr="00DB6419">
        <w:t xml:space="preserve">, </w:t>
      </w:r>
      <w:r w:rsidRPr="00DB6419">
        <w:rPr>
          <w:i/>
        </w:rPr>
        <w:t>The role of tutoring in problem solving</w:t>
      </w:r>
      <w:r w:rsidRPr="00DB6419">
        <w:t>, in Journal of Child Psychology and Psychiatry, volume 17, da pp.89 a 100, Pergamon Press</w:t>
      </w:r>
    </w:p>
    <w:p w14:paraId="4970FD52" w14:textId="77777777" w:rsidR="00BE7BDC" w:rsidRPr="00705478" w:rsidRDefault="00BE7BDC" w:rsidP="002D0CEA">
      <w:pPr>
        <w:pStyle w:val="IATED-References"/>
        <w:numPr>
          <w:ilvl w:val="0"/>
          <w:numId w:val="0"/>
        </w:numPr>
      </w:pPr>
    </w:p>
    <w:sectPr w:rsidR="00BE7BDC" w:rsidRPr="00705478">
      <w:pgSz w:w="11906" w:h="16838" w:code="9"/>
      <w:pgMar w:top="1418" w:right="1418" w:bottom="1418" w:left="1418"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031917" w14:textId="77777777" w:rsidR="001D171F" w:rsidRDefault="001D171F" w:rsidP="00896823">
      <w:pPr>
        <w:spacing w:before="0" w:after="0"/>
      </w:pPr>
      <w:r>
        <w:separator/>
      </w:r>
    </w:p>
  </w:endnote>
  <w:endnote w:type="continuationSeparator" w:id="0">
    <w:p w14:paraId="64D4B9AD" w14:textId="77777777" w:rsidR="001D171F" w:rsidRDefault="001D171F" w:rsidP="0089682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FF45F5" w14:textId="77777777" w:rsidR="001D171F" w:rsidRDefault="001D171F" w:rsidP="00896823">
      <w:pPr>
        <w:spacing w:before="0" w:after="0"/>
      </w:pPr>
    </w:p>
  </w:footnote>
  <w:footnote w:type="continuationSeparator" w:id="0">
    <w:p w14:paraId="506615C0" w14:textId="77777777" w:rsidR="001D171F" w:rsidRDefault="001D171F" w:rsidP="00896823">
      <w:pPr>
        <w:spacing w:before="0" w:after="0"/>
      </w:pPr>
    </w:p>
  </w:footnote>
  <w:footnote w:type="continuationNotice" w:id="1">
    <w:p w14:paraId="4DE5C526" w14:textId="77777777" w:rsidR="001D171F" w:rsidRDefault="001D171F">
      <w:pPr>
        <w:spacing w:before="0"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33301B5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8B12A850"/>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409AD8F4"/>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A22033D8"/>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80EEC7AA"/>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C04A6078"/>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C94E6BB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9064C67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62D054FA"/>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36141614"/>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9F9A850A"/>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515694"/>
    <w:multiLevelType w:val="multilevel"/>
    <w:tmpl w:val="B36A799E"/>
    <w:lvl w:ilvl="0">
      <w:start w:val="1"/>
      <w:numFmt w:val="decimal"/>
      <w:pStyle w:val="Titolo1"/>
      <w:lvlText w:val="%1"/>
      <w:lvlJc w:val="left"/>
      <w:pPr>
        <w:ind w:left="432" w:hanging="432"/>
      </w:pPr>
      <w:rPr>
        <w:rFonts w:hint="default"/>
      </w:rPr>
    </w:lvl>
    <w:lvl w:ilvl="1">
      <w:start w:val="1"/>
      <w:numFmt w:val="decimal"/>
      <w:pStyle w:val="Titolo2"/>
      <w:lvlText w:val="%1.%2"/>
      <w:lvlJc w:val="left"/>
      <w:pPr>
        <w:ind w:left="576" w:hanging="576"/>
      </w:pPr>
      <w:rPr>
        <w:rFonts w:hint="default"/>
      </w:rPr>
    </w:lvl>
    <w:lvl w:ilvl="2">
      <w:start w:val="1"/>
      <w:numFmt w:val="decimal"/>
      <w:pStyle w:val="Titolo3"/>
      <w:lvlText w:val="%1.%2.%3"/>
      <w:lvlJc w:val="left"/>
      <w:pPr>
        <w:ind w:left="720" w:hanging="720"/>
      </w:pPr>
      <w:rPr>
        <w:rFonts w:hint="default"/>
      </w:rPr>
    </w:lvl>
    <w:lvl w:ilvl="3">
      <w:start w:val="1"/>
      <w:numFmt w:val="decimal"/>
      <w:pStyle w:val="Titolo4"/>
      <w:lvlText w:val="%1.%2.%3.%4"/>
      <w:lvlJc w:val="left"/>
      <w:pPr>
        <w:ind w:left="864" w:hanging="864"/>
      </w:pPr>
      <w:rPr>
        <w:rFonts w:hint="default"/>
      </w:rPr>
    </w:lvl>
    <w:lvl w:ilvl="4">
      <w:start w:val="1"/>
      <w:numFmt w:val="decimal"/>
      <w:pStyle w:val="Titolo5"/>
      <w:lvlText w:val="%1.%2.%3.%4.%5"/>
      <w:lvlJc w:val="left"/>
      <w:pPr>
        <w:ind w:left="1008" w:hanging="1008"/>
      </w:pPr>
      <w:rPr>
        <w:rFonts w:hint="default"/>
      </w:rPr>
    </w:lvl>
    <w:lvl w:ilvl="5">
      <w:start w:val="1"/>
      <w:numFmt w:val="decimal"/>
      <w:pStyle w:val="Titolo6"/>
      <w:lvlText w:val="%1.%2.%3.%4.%5.%6"/>
      <w:lvlJc w:val="left"/>
      <w:pPr>
        <w:ind w:left="1152" w:hanging="1152"/>
      </w:pPr>
      <w:rPr>
        <w:rFonts w:hint="default"/>
      </w:rPr>
    </w:lvl>
    <w:lvl w:ilvl="6">
      <w:start w:val="1"/>
      <w:numFmt w:val="decimal"/>
      <w:pStyle w:val="Titolo7"/>
      <w:lvlText w:val="%1.%2.%3.%4.%5.%6.%7"/>
      <w:lvlJc w:val="left"/>
      <w:pPr>
        <w:ind w:left="1296" w:hanging="1296"/>
      </w:pPr>
      <w:rPr>
        <w:rFonts w:hint="default"/>
      </w:rPr>
    </w:lvl>
    <w:lvl w:ilvl="7">
      <w:start w:val="1"/>
      <w:numFmt w:val="decimal"/>
      <w:pStyle w:val="Titolo8"/>
      <w:lvlText w:val="%1.%2.%3.%4.%5.%6.%7.%8"/>
      <w:lvlJc w:val="left"/>
      <w:pPr>
        <w:ind w:left="1440" w:hanging="1440"/>
      </w:pPr>
      <w:rPr>
        <w:rFonts w:hint="default"/>
      </w:rPr>
    </w:lvl>
    <w:lvl w:ilvl="8">
      <w:start w:val="1"/>
      <w:numFmt w:val="decimal"/>
      <w:pStyle w:val="Titolo9"/>
      <w:lvlText w:val="%1.%2.%3.%4.%5.%6.%7.%8.%9"/>
      <w:lvlJc w:val="left"/>
      <w:pPr>
        <w:ind w:left="1584" w:hanging="1584"/>
      </w:pPr>
      <w:rPr>
        <w:rFonts w:hint="default"/>
      </w:rPr>
    </w:lvl>
  </w:abstractNum>
  <w:abstractNum w:abstractNumId="12" w15:restartNumberingAfterBreak="0">
    <w:nsid w:val="04E621A7"/>
    <w:multiLevelType w:val="multilevel"/>
    <w:tmpl w:val="9BEAEA0A"/>
    <w:lvl w:ilvl="0">
      <w:start w:val="1"/>
      <w:numFmt w:val="none"/>
      <w:suff w:val="space"/>
      <w:lvlText w:val="Keywords - "/>
      <w:lvlJc w:val="left"/>
      <w:pPr>
        <w:ind w:left="0" w:firstLine="567"/>
      </w:pPr>
      <w:rPr>
        <w:rFonts w:ascii="Arial" w:hAnsi="Arial" w:hint="default"/>
        <w:b/>
        <w:i/>
        <w:sz w:val="2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3" w15:restartNumberingAfterBreak="0">
    <w:nsid w:val="0973255A"/>
    <w:multiLevelType w:val="multilevel"/>
    <w:tmpl w:val="88EEAB6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0F73588A"/>
    <w:multiLevelType w:val="hybridMultilevel"/>
    <w:tmpl w:val="D41CD24A"/>
    <w:lvl w:ilvl="0" w:tplc="C088DD10">
      <w:start w:val="1"/>
      <w:numFmt w:val="decimal"/>
      <w:lvlText w:val="[%1]"/>
      <w:lvlJc w:val="left"/>
      <w:pPr>
        <w:tabs>
          <w:tab w:val="num" w:pos="360"/>
        </w:tabs>
        <w:ind w:left="360" w:hanging="36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103F6DB4"/>
    <w:multiLevelType w:val="multilevel"/>
    <w:tmpl w:val="55C6EB36"/>
    <w:lvl w:ilvl="0">
      <w:start w:val="1"/>
      <w:numFmt w:val="none"/>
      <w:suff w:val="space"/>
      <w:lvlText w:val="Keywords - "/>
      <w:lvlJc w:val="left"/>
      <w:pPr>
        <w:ind w:left="0" w:firstLine="340"/>
      </w:pPr>
      <w:rPr>
        <w:rFonts w:ascii="Arial" w:hAnsi="Arial" w:hint="default"/>
        <w:b/>
        <w:i/>
        <w:sz w:val="2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6" w15:restartNumberingAfterBreak="0">
    <w:nsid w:val="17153415"/>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5197BA8"/>
    <w:multiLevelType w:val="multilevel"/>
    <w:tmpl w:val="3104B88E"/>
    <w:lvl w:ilvl="0">
      <w:start w:val="1"/>
      <w:numFmt w:val="none"/>
      <w:suff w:val="space"/>
      <w:lvlText w:val="Abstracts - "/>
      <w:lvlJc w:val="left"/>
      <w:pPr>
        <w:ind w:left="0" w:firstLine="0"/>
      </w:pPr>
      <w:rPr>
        <w:rFonts w:ascii="Arial" w:hAnsi="Arial" w:hint="default"/>
        <w:b/>
        <w:i w:val="0"/>
        <w:sz w:val="22"/>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8" w15:restartNumberingAfterBreak="0">
    <w:nsid w:val="2762267A"/>
    <w:multiLevelType w:val="multilevel"/>
    <w:tmpl w:val="89506A0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288128C4"/>
    <w:multiLevelType w:val="multilevel"/>
    <w:tmpl w:val="5C5CCD1C"/>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0" w15:restartNumberingAfterBreak="0">
    <w:nsid w:val="305A3A1D"/>
    <w:multiLevelType w:val="hybridMultilevel"/>
    <w:tmpl w:val="E29056C2"/>
    <w:lvl w:ilvl="0" w:tplc="E0D28498">
      <w:start w:val="1"/>
      <w:numFmt w:val="decimal"/>
      <w:lvlText w:val="[%1]"/>
      <w:lvlJc w:val="left"/>
      <w:pPr>
        <w:tabs>
          <w:tab w:val="num" w:pos="360"/>
        </w:tabs>
        <w:ind w:left="360" w:hanging="360"/>
      </w:pPr>
      <w:rPr>
        <w:rFonts w:hint="default"/>
        <w:b w:val="0"/>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1" w15:restartNumberingAfterBreak="0">
    <w:nsid w:val="32761675"/>
    <w:multiLevelType w:val="hybridMultilevel"/>
    <w:tmpl w:val="4AAAD3E4"/>
    <w:lvl w:ilvl="0" w:tplc="4C7A3D96">
      <w:start w:val="2"/>
      <w:numFmt w:val="bullet"/>
      <w:pStyle w:val="IATED-References"/>
      <w:lvlText w:val="-"/>
      <w:lvlJc w:val="left"/>
      <w:pPr>
        <w:ind w:left="720" w:hanging="360"/>
      </w:pPr>
      <w:rPr>
        <w:rFonts w:ascii="Trebuchet MS" w:eastAsiaTheme="minorHAnsi" w:hAnsi="Trebuchet MS"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3BE4551C"/>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47EA2D20"/>
    <w:multiLevelType w:val="multilevel"/>
    <w:tmpl w:val="7A4A061E"/>
    <w:lvl w:ilvl="0">
      <w:start w:val="1"/>
      <w:numFmt w:val="none"/>
      <w:suff w:val="space"/>
      <w:lvlText w:val="Keywords - "/>
      <w:lvlJc w:val="left"/>
      <w:pPr>
        <w:ind w:left="567" w:firstLine="0"/>
      </w:pPr>
      <w:rPr>
        <w:rFonts w:ascii="Arial" w:hAnsi="Arial" w:hint="default"/>
        <w:b/>
        <w:i/>
        <w:sz w:val="2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4" w15:restartNumberingAfterBreak="0">
    <w:nsid w:val="49841C1C"/>
    <w:multiLevelType w:val="hybridMultilevel"/>
    <w:tmpl w:val="42D4254C"/>
    <w:lvl w:ilvl="0" w:tplc="43381630">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5" w15:restartNumberingAfterBreak="0">
    <w:nsid w:val="522178B8"/>
    <w:multiLevelType w:val="multilevel"/>
    <w:tmpl w:val="71A2BCCA"/>
    <w:lvl w:ilvl="0">
      <w:start w:val="1"/>
      <w:numFmt w:val="none"/>
      <w:suff w:val="space"/>
      <w:lvlText w:val="Abstracts - "/>
      <w:lvlJc w:val="left"/>
      <w:pPr>
        <w:ind w:left="0" w:firstLine="0"/>
      </w:pPr>
      <w:rPr>
        <w:rFonts w:ascii="Arial" w:hAnsi="Arial" w:hint="default"/>
        <w:b/>
        <w:i w:val="0"/>
        <w:sz w:val="22"/>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6" w15:restartNumberingAfterBreak="0">
    <w:nsid w:val="590E345F"/>
    <w:multiLevelType w:val="hybridMultilevel"/>
    <w:tmpl w:val="D41CD24A"/>
    <w:lvl w:ilvl="0" w:tplc="4542615E">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7" w15:restartNumberingAfterBreak="0">
    <w:nsid w:val="63E47E8A"/>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8" w15:restartNumberingAfterBreak="0">
    <w:nsid w:val="65902524"/>
    <w:multiLevelType w:val="multilevel"/>
    <w:tmpl w:val="402A1872"/>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360"/>
        </w:tabs>
        <w:ind w:left="360" w:hanging="3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9" w15:restartNumberingAfterBreak="0">
    <w:nsid w:val="675C7D47"/>
    <w:multiLevelType w:val="multilevel"/>
    <w:tmpl w:val="88EEAB64"/>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0" w15:restartNumberingAfterBreak="0">
    <w:nsid w:val="677E18D5"/>
    <w:multiLevelType w:val="multilevel"/>
    <w:tmpl w:val="0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7F960400"/>
    <w:multiLevelType w:val="multilevel"/>
    <w:tmpl w:val="9C0E5166"/>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upperLetter"/>
      <w:lvlText w:val="%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abstractNumId w:val="28"/>
  </w:num>
  <w:num w:numId="2">
    <w:abstractNumId w:val="24"/>
  </w:num>
  <w:num w:numId="3">
    <w:abstractNumId w:val="26"/>
  </w:num>
  <w:num w:numId="4">
    <w:abstractNumId w:val="14"/>
  </w:num>
  <w:num w:numId="5">
    <w:abstractNumId w:val="20"/>
  </w:num>
  <w:num w:numId="6">
    <w:abstractNumId w:val="19"/>
  </w:num>
  <w:num w:numId="7">
    <w:abstractNumId w:val="15"/>
  </w:num>
  <w:num w:numId="8">
    <w:abstractNumId w:val="22"/>
  </w:num>
  <w:num w:numId="9">
    <w:abstractNumId w:val="27"/>
  </w:num>
  <w:num w:numId="10">
    <w:abstractNumId w:val="25"/>
  </w:num>
  <w:num w:numId="11">
    <w:abstractNumId w:val="16"/>
  </w:num>
  <w:num w:numId="12">
    <w:abstractNumId w:val="23"/>
  </w:num>
  <w:num w:numId="13">
    <w:abstractNumId w:val="12"/>
  </w:num>
  <w:num w:numId="14">
    <w:abstractNumId w:val="17"/>
  </w:num>
  <w:num w:numId="15">
    <w:abstractNumId w:val="11"/>
  </w:num>
  <w:num w:numId="16">
    <w:abstractNumId w:val="18"/>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29"/>
  </w:num>
  <w:num w:numId="20">
    <w:abstractNumId w:val="31"/>
  </w:num>
  <w:num w:numId="21">
    <w:abstractNumId w:val="30"/>
  </w:num>
  <w:num w:numId="22">
    <w:abstractNumId w:val="9"/>
  </w:num>
  <w:num w:numId="23">
    <w:abstractNumId w:val="4"/>
  </w:num>
  <w:num w:numId="24">
    <w:abstractNumId w:val="3"/>
  </w:num>
  <w:num w:numId="25">
    <w:abstractNumId w:val="2"/>
  </w:num>
  <w:num w:numId="26">
    <w:abstractNumId w:val="7"/>
  </w:num>
  <w:num w:numId="27">
    <w:abstractNumId w:val="6"/>
  </w:num>
  <w:num w:numId="28">
    <w:abstractNumId w:val="5"/>
  </w:num>
  <w:num w:numId="29">
    <w:abstractNumId w:val="0"/>
  </w:num>
  <w:num w:numId="30">
    <w:abstractNumId w:val="1"/>
  </w:num>
  <w:num w:numId="31">
    <w:abstractNumId w:val="10"/>
  </w:num>
  <w:num w:numId="32">
    <w:abstractNumId w:val="8"/>
  </w:num>
  <w:num w:numId="33">
    <w:abstractNumId w:val="21"/>
  </w:num>
  <w:num w:numId="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embedSystemFonts/>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noPunctuationKerning/>
  <w:characterSpacingControl w:val="doNotCompress"/>
  <w:footnotePr>
    <w:footnote w:id="-1"/>
    <w:footnote w:id="0"/>
    <w:footnote w:id="1"/>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018BC"/>
    <w:rsid w:val="00015F11"/>
    <w:rsid w:val="00042F07"/>
    <w:rsid w:val="0009240E"/>
    <w:rsid w:val="000C4C8C"/>
    <w:rsid w:val="00117BB0"/>
    <w:rsid w:val="001208F4"/>
    <w:rsid w:val="001563AD"/>
    <w:rsid w:val="001A796A"/>
    <w:rsid w:val="001B038D"/>
    <w:rsid w:val="001B1444"/>
    <w:rsid w:val="001C50E1"/>
    <w:rsid w:val="001D171F"/>
    <w:rsid w:val="001F3816"/>
    <w:rsid w:val="002109C3"/>
    <w:rsid w:val="002935BB"/>
    <w:rsid w:val="002947E6"/>
    <w:rsid w:val="002B7BB5"/>
    <w:rsid w:val="002D0CEA"/>
    <w:rsid w:val="00332D19"/>
    <w:rsid w:val="003540F4"/>
    <w:rsid w:val="00363EFF"/>
    <w:rsid w:val="00465449"/>
    <w:rsid w:val="004A757F"/>
    <w:rsid w:val="004D3018"/>
    <w:rsid w:val="004D5C63"/>
    <w:rsid w:val="0051418A"/>
    <w:rsid w:val="00560182"/>
    <w:rsid w:val="005A1AB5"/>
    <w:rsid w:val="005A4323"/>
    <w:rsid w:val="005C70EB"/>
    <w:rsid w:val="005E1742"/>
    <w:rsid w:val="006009A2"/>
    <w:rsid w:val="006C1063"/>
    <w:rsid w:val="006C317A"/>
    <w:rsid w:val="00800A0A"/>
    <w:rsid w:val="008018BC"/>
    <w:rsid w:val="00822316"/>
    <w:rsid w:val="00823210"/>
    <w:rsid w:val="00844D3A"/>
    <w:rsid w:val="00872532"/>
    <w:rsid w:val="00895599"/>
    <w:rsid w:val="00896823"/>
    <w:rsid w:val="008C27DE"/>
    <w:rsid w:val="008F4417"/>
    <w:rsid w:val="009572FC"/>
    <w:rsid w:val="009B0355"/>
    <w:rsid w:val="009B62DE"/>
    <w:rsid w:val="00A37D07"/>
    <w:rsid w:val="00A40CFD"/>
    <w:rsid w:val="00A63A1F"/>
    <w:rsid w:val="00AD27EB"/>
    <w:rsid w:val="00B2740F"/>
    <w:rsid w:val="00B55A17"/>
    <w:rsid w:val="00B7374C"/>
    <w:rsid w:val="00BB5DEB"/>
    <w:rsid w:val="00BE5044"/>
    <w:rsid w:val="00BE585F"/>
    <w:rsid w:val="00BE7BDC"/>
    <w:rsid w:val="00C3507C"/>
    <w:rsid w:val="00C66FCB"/>
    <w:rsid w:val="00CD5D66"/>
    <w:rsid w:val="00D02723"/>
    <w:rsid w:val="00D2351C"/>
    <w:rsid w:val="00D331A1"/>
    <w:rsid w:val="00D57BC9"/>
    <w:rsid w:val="00D9037D"/>
    <w:rsid w:val="00DA049E"/>
    <w:rsid w:val="00DC71A0"/>
    <w:rsid w:val="00DF1746"/>
    <w:rsid w:val="00E854C6"/>
    <w:rsid w:val="00EA3A2C"/>
    <w:rsid w:val="00EA65F2"/>
    <w:rsid w:val="00F14888"/>
    <w:rsid w:val="00F64142"/>
    <w:rsid w:val="00F9497B"/>
    <w:rsid w:val="00FA4736"/>
    <w:rsid w:val="00FD0F31"/>
    <w:rsid w:val="00FD3B00"/>
  </w:rsids>
  <m:mathPr>
    <m:mathFont m:val="Cambria Math"/>
    <m:brkBin m:val="before"/>
    <m:brkBinSub m:val="--"/>
    <m:smallFrac m:val="0"/>
    <m:dispDef m:val="0"/>
    <m:lMargin m:val="0"/>
    <m:rMargin m:val="0"/>
    <m:defJc m:val="centerGroup"/>
    <m:wrapRight/>
    <m:intLim m:val="subSup"/>
    <m:naryLim m:val="subSup"/>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92E48A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heading 1" w:qFormat="1"/>
    <w:lsdException w:name="heading 6"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3" w:semiHidden="1" w:unhideWhenUsed="1"/>
    <w:lsdException w:name="List Bullet 4"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aliases w:val="IATED-Text"/>
    <w:qFormat/>
    <w:rsid w:val="005E1742"/>
    <w:pPr>
      <w:spacing w:before="120" w:after="120"/>
      <w:jc w:val="both"/>
    </w:pPr>
    <w:rPr>
      <w:rFonts w:ascii="Arial" w:hAnsi="Arial"/>
      <w:szCs w:val="24"/>
      <w:lang w:val="en-US"/>
    </w:rPr>
  </w:style>
  <w:style w:type="paragraph" w:styleId="Titolo1">
    <w:name w:val="heading 1"/>
    <w:aliases w:val="IATED-Section"/>
    <w:next w:val="Normale"/>
    <w:link w:val="Titolo1Carattere"/>
    <w:qFormat/>
    <w:rsid w:val="005E1742"/>
    <w:pPr>
      <w:keepNext/>
      <w:numPr>
        <w:numId w:val="15"/>
      </w:numPr>
      <w:spacing w:before="360" w:after="60"/>
      <w:outlineLvl w:val="0"/>
    </w:pPr>
    <w:rPr>
      <w:rFonts w:ascii="Arial" w:hAnsi="Arial"/>
      <w:b/>
      <w:bCs/>
      <w:caps/>
      <w:kern w:val="32"/>
      <w:sz w:val="24"/>
      <w:szCs w:val="32"/>
      <w:lang w:val="en-US"/>
    </w:rPr>
  </w:style>
  <w:style w:type="paragraph" w:styleId="Titolo2">
    <w:name w:val="heading 2"/>
    <w:aliases w:val="IATED-Subsection"/>
    <w:next w:val="Normale"/>
    <w:link w:val="Titolo2Carattere"/>
    <w:qFormat/>
    <w:rsid w:val="005E1742"/>
    <w:pPr>
      <w:keepNext/>
      <w:numPr>
        <w:ilvl w:val="1"/>
        <w:numId w:val="15"/>
      </w:numPr>
      <w:spacing w:before="240" w:after="60"/>
      <w:outlineLvl w:val="1"/>
    </w:pPr>
    <w:rPr>
      <w:rFonts w:ascii="Arial" w:hAnsi="Arial"/>
      <w:b/>
      <w:bCs/>
      <w:iCs/>
      <w:sz w:val="24"/>
      <w:szCs w:val="28"/>
      <w:lang w:val="en-US"/>
    </w:rPr>
  </w:style>
  <w:style w:type="paragraph" w:styleId="Titolo3">
    <w:name w:val="heading 3"/>
    <w:aliases w:val="IATED-Subsubsection"/>
    <w:basedOn w:val="Normale"/>
    <w:next w:val="Normale"/>
    <w:link w:val="Titolo3Carattere"/>
    <w:qFormat/>
    <w:rsid w:val="005E1742"/>
    <w:pPr>
      <w:keepNext/>
      <w:numPr>
        <w:ilvl w:val="2"/>
        <w:numId w:val="15"/>
      </w:numPr>
      <w:spacing w:before="180" w:after="60"/>
      <w:outlineLvl w:val="2"/>
    </w:pPr>
    <w:rPr>
      <w:bCs/>
      <w:i/>
      <w:sz w:val="22"/>
      <w:szCs w:val="26"/>
    </w:rPr>
  </w:style>
  <w:style w:type="paragraph" w:styleId="Titolo4">
    <w:name w:val="heading 4"/>
    <w:basedOn w:val="Normale"/>
    <w:next w:val="Normale"/>
    <w:link w:val="Titolo4Carattere"/>
    <w:qFormat/>
    <w:rsid w:val="00996EF6"/>
    <w:pPr>
      <w:keepNext/>
      <w:numPr>
        <w:ilvl w:val="3"/>
        <w:numId w:val="15"/>
      </w:numPr>
      <w:spacing w:before="240" w:after="60"/>
      <w:outlineLvl w:val="3"/>
    </w:pPr>
    <w:rPr>
      <w:rFonts w:ascii="Cambria" w:hAnsi="Cambria"/>
      <w:b/>
      <w:bCs/>
      <w:sz w:val="28"/>
      <w:szCs w:val="28"/>
    </w:rPr>
  </w:style>
  <w:style w:type="paragraph" w:styleId="Titolo5">
    <w:name w:val="heading 5"/>
    <w:basedOn w:val="Normale"/>
    <w:next w:val="Normale"/>
    <w:link w:val="Titolo5Carattere"/>
    <w:qFormat/>
    <w:rsid w:val="00996EF6"/>
    <w:pPr>
      <w:numPr>
        <w:ilvl w:val="4"/>
        <w:numId w:val="15"/>
      </w:numPr>
      <w:spacing w:before="240" w:after="60"/>
      <w:outlineLvl w:val="4"/>
    </w:pPr>
    <w:rPr>
      <w:rFonts w:ascii="Cambria" w:hAnsi="Cambria"/>
      <w:b/>
      <w:bCs/>
      <w:i/>
      <w:iCs/>
      <w:sz w:val="26"/>
      <w:szCs w:val="26"/>
    </w:rPr>
  </w:style>
  <w:style w:type="paragraph" w:styleId="Titolo6">
    <w:name w:val="heading 6"/>
    <w:basedOn w:val="Normale"/>
    <w:next w:val="Normale"/>
    <w:link w:val="Titolo6Carattere"/>
    <w:qFormat/>
    <w:rsid w:val="00996EF6"/>
    <w:pPr>
      <w:numPr>
        <w:ilvl w:val="5"/>
        <w:numId w:val="15"/>
      </w:numPr>
      <w:spacing w:before="240" w:after="60"/>
      <w:outlineLvl w:val="5"/>
    </w:pPr>
    <w:rPr>
      <w:rFonts w:ascii="Cambria" w:hAnsi="Cambria"/>
      <w:b/>
      <w:bCs/>
      <w:sz w:val="22"/>
      <w:szCs w:val="22"/>
    </w:rPr>
  </w:style>
  <w:style w:type="paragraph" w:styleId="Titolo7">
    <w:name w:val="heading 7"/>
    <w:basedOn w:val="Normale"/>
    <w:next w:val="Normale"/>
    <w:link w:val="Titolo7Carattere"/>
    <w:qFormat/>
    <w:rsid w:val="00996EF6"/>
    <w:pPr>
      <w:numPr>
        <w:ilvl w:val="6"/>
        <w:numId w:val="15"/>
      </w:numPr>
      <w:spacing w:before="240" w:after="60"/>
      <w:outlineLvl w:val="6"/>
    </w:pPr>
    <w:rPr>
      <w:rFonts w:ascii="Cambria" w:hAnsi="Cambria"/>
    </w:rPr>
  </w:style>
  <w:style w:type="paragraph" w:styleId="Titolo8">
    <w:name w:val="heading 8"/>
    <w:basedOn w:val="Normale"/>
    <w:next w:val="Normale"/>
    <w:link w:val="Titolo8Carattere"/>
    <w:qFormat/>
    <w:rsid w:val="00996EF6"/>
    <w:pPr>
      <w:numPr>
        <w:ilvl w:val="7"/>
        <w:numId w:val="15"/>
      </w:numPr>
      <w:spacing w:before="240" w:after="60"/>
      <w:outlineLvl w:val="7"/>
    </w:pPr>
    <w:rPr>
      <w:rFonts w:ascii="Cambria" w:hAnsi="Cambria"/>
      <w:i/>
      <w:iCs/>
    </w:rPr>
  </w:style>
  <w:style w:type="paragraph" w:styleId="Titolo9">
    <w:name w:val="heading 9"/>
    <w:basedOn w:val="Normale"/>
    <w:next w:val="Normale"/>
    <w:link w:val="Titolo9Carattere"/>
    <w:qFormat/>
    <w:rsid w:val="00996EF6"/>
    <w:pPr>
      <w:numPr>
        <w:ilvl w:val="8"/>
        <w:numId w:val="15"/>
      </w:numPr>
      <w:spacing w:before="240" w:after="60"/>
      <w:outlineLvl w:val="8"/>
    </w:pPr>
    <w:rPr>
      <w:rFonts w:ascii="Calibri" w:hAnsi="Calibri"/>
      <w:sz w:val="22"/>
      <w:szCs w:val="2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aliases w:val="IATED-Title"/>
    <w:basedOn w:val="Normale"/>
    <w:qFormat/>
    <w:rsid w:val="00D57BC9"/>
    <w:pPr>
      <w:spacing w:before="480"/>
      <w:jc w:val="center"/>
    </w:pPr>
    <w:rPr>
      <w:b/>
      <w:bCs/>
      <w:sz w:val="24"/>
    </w:rPr>
  </w:style>
  <w:style w:type="paragraph" w:customStyle="1" w:styleId="IATED-PaperTitle">
    <w:name w:val="IATED-Paper Title"/>
    <w:next w:val="IATED-Authors"/>
    <w:qFormat/>
    <w:rsid w:val="005E1742"/>
    <w:pPr>
      <w:spacing w:before="240" w:after="240"/>
      <w:jc w:val="center"/>
    </w:pPr>
    <w:rPr>
      <w:rFonts w:ascii="Arial" w:hAnsi="Arial" w:cs="Arial"/>
      <w:b/>
      <w:bCs/>
      <w:caps/>
      <w:sz w:val="28"/>
      <w:szCs w:val="24"/>
      <w:lang w:val="en-US"/>
    </w:rPr>
  </w:style>
  <w:style w:type="paragraph" w:customStyle="1" w:styleId="IATED-Authors">
    <w:name w:val="IATED-Authors"/>
    <w:next w:val="IATED-Affiliation"/>
    <w:qFormat/>
    <w:rsid w:val="005E1742"/>
    <w:pPr>
      <w:spacing w:after="120"/>
      <w:jc w:val="center"/>
    </w:pPr>
    <w:rPr>
      <w:rFonts w:ascii="Arial" w:hAnsi="Arial" w:cs="Arial"/>
      <w:b/>
      <w:bCs/>
      <w:sz w:val="24"/>
      <w:szCs w:val="24"/>
      <w:lang w:val="en-US"/>
    </w:rPr>
  </w:style>
  <w:style w:type="paragraph" w:customStyle="1" w:styleId="IATED-Affiliation">
    <w:name w:val="IATED-Affiliation"/>
    <w:qFormat/>
    <w:rsid w:val="005E1742"/>
    <w:pPr>
      <w:jc w:val="center"/>
    </w:pPr>
    <w:rPr>
      <w:rFonts w:ascii="Arial" w:hAnsi="Arial" w:cs="Arial"/>
      <w:i/>
      <w:sz w:val="22"/>
      <w:szCs w:val="24"/>
      <w:lang w:val="en-US"/>
    </w:rPr>
  </w:style>
  <w:style w:type="paragraph" w:styleId="Testonotaapidipagina">
    <w:name w:val="footnote text"/>
    <w:basedOn w:val="Normale"/>
    <w:link w:val="TestonotaapidipaginaCarattere"/>
    <w:rsid w:val="00896823"/>
    <w:pPr>
      <w:spacing w:before="0" w:after="60"/>
    </w:pPr>
    <w:rPr>
      <w:sz w:val="16"/>
    </w:rPr>
  </w:style>
  <w:style w:type="paragraph" w:customStyle="1" w:styleId="IATED-email">
    <w:name w:val="IATED-email"/>
    <w:qFormat/>
    <w:rsid w:val="005E1742"/>
    <w:pPr>
      <w:spacing w:after="480"/>
      <w:jc w:val="center"/>
    </w:pPr>
    <w:rPr>
      <w:rFonts w:ascii="Arial" w:hAnsi="Arial" w:cs="Arial"/>
      <w:i/>
      <w:iCs/>
      <w:sz w:val="22"/>
      <w:szCs w:val="24"/>
      <w:lang w:val="en-US"/>
    </w:rPr>
  </w:style>
  <w:style w:type="paragraph" w:customStyle="1" w:styleId="IATED-References">
    <w:name w:val="IATED-References"/>
    <w:basedOn w:val="Titolo"/>
    <w:autoRedefine/>
    <w:qFormat/>
    <w:rsid w:val="002D0CEA"/>
    <w:pPr>
      <w:numPr>
        <w:numId w:val="33"/>
      </w:numPr>
      <w:tabs>
        <w:tab w:val="left" w:pos="567"/>
      </w:tabs>
      <w:spacing w:before="120"/>
      <w:jc w:val="left"/>
    </w:pPr>
    <w:rPr>
      <w:rFonts w:cs="Arial"/>
      <w:b w:val="0"/>
      <w:bCs w:val="0"/>
      <w:sz w:val="20"/>
    </w:rPr>
  </w:style>
  <w:style w:type="character" w:customStyle="1" w:styleId="TestonotaapidipaginaCarattere">
    <w:name w:val="Testo nota a piè di pagina Carattere"/>
    <w:link w:val="Testonotaapidipagina"/>
    <w:rsid w:val="00896823"/>
    <w:rPr>
      <w:rFonts w:ascii="Arial" w:hAnsi="Arial"/>
      <w:sz w:val="16"/>
      <w:szCs w:val="24"/>
      <w:lang w:val="en-US"/>
    </w:rPr>
  </w:style>
  <w:style w:type="character" w:customStyle="1" w:styleId="Titolo2Carattere">
    <w:name w:val="Titolo 2 Carattere"/>
    <w:aliases w:val="IATED-Subsection Carattere"/>
    <w:link w:val="Titolo2"/>
    <w:rsid w:val="005E1742"/>
    <w:rPr>
      <w:rFonts w:ascii="Arial" w:hAnsi="Arial"/>
      <w:b/>
      <w:bCs/>
      <w:iCs/>
      <w:sz w:val="24"/>
      <w:szCs w:val="28"/>
    </w:rPr>
  </w:style>
  <w:style w:type="character" w:customStyle="1" w:styleId="Titolo3Carattere">
    <w:name w:val="Titolo 3 Carattere"/>
    <w:aliases w:val="IATED-Subsubsection Carattere"/>
    <w:link w:val="Titolo3"/>
    <w:rsid w:val="005E1742"/>
    <w:rPr>
      <w:rFonts w:ascii="Arial" w:hAnsi="Arial"/>
      <w:bCs/>
      <w:i/>
      <w:sz w:val="22"/>
      <w:szCs w:val="26"/>
    </w:rPr>
  </w:style>
  <w:style w:type="character" w:customStyle="1" w:styleId="Titolo4Carattere">
    <w:name w:val="Titolo 4 Carattere"/>
    <w:link w:val="Titolo4"/>
    <w:rsid w:val="00996EF6"/>
    <w:rPr>
      <w:rFonts w:ascii="Cambria" w:hAnsi="Cambria"/>
      <w:b/>
      <w:bCs/>
      <w:sz w:val="28"/>
      <w:szCs w:val="28"/>
      <w:lang w:val="es-ES" w:eastAsia="es-ES"/>
    </w:rPr>
  </w:style>
  <w:style w:type="character" w:customStyle="1" w:styleId="Titolo5Carattere">
    <w:name w:val="Titolo 5 Carattere"/>
    <w:link w:val="Titolo5"/>
    <w:rsid w:val="00996EF6"/>
    <w:rPr>
      <w:rFonts w:ascii="Cambria" w:hAnsi="Cambria"/>
      <w:b/>
      <w:bCs/>
      <w:i/>
      <w:iCs/>
      <w:sz w:val="26"/>
      <w:szCs w:val="26"/>
      <w:lang w:val="es-ES" w:eastAsia="es-ES"/>
    </w:rPr>
  </w:style>
  <w:style w:type="character" w:customStyle="1" w:styleId="Titolo6Carattere">
    <w:name w:val="Titolo 6 Carattere"/>
    <w:link w:val="Titolo6"/>
    <w:rsid w:val="00996EF6"/>
    <w:rPr>
      <w:rFonts w:ascii="Cambria" w:hAnsi="Cambria"/>
      <w:b/>
      <w:bCs/>
      <w:sz w:val="22"/>
      <w:szCs w:val="22"/>
      <w:lang w:val="es-ES" w:eastAsia="es-ES"/>
    </w:rPr>
  </w:style>
  <w:style w:type="character" w:customStyle="1" w:styleId="Titolo7Carattere">
    <w:name w:val="Titolo 7 Carattere"/>
    <w:link w:val="Titolo7"/>
    <w:rsid w:val="00996EF6"/>
    <w:rPr>
      <w:rFonts w:ascii="Cambria" w:hAnsi="Cambria"/>
      <w:szCs w:val="24"/>
      <w:lang w:val="es-ES" w:eastAsia="es-ES"/>
    </w:rPr>
  </w:style>
  <w:style w:type="character" w:customStyle="1" w:styleId="Titolo8Carattere">
    <w:name w:val="Titolo 8 Carattere"/>
    <w:link w:val="Titolo8"/>
    <w:rsid w:val="00996EF6"/>
    <w:rPr>
      <w:rFonts w:ascii="Cambria" w:hAnsi="Cambria"/>
      <w:i/>
      <w:iCs/>
      <w:szCs w:val="24"/>
      <w:lang w:val="es-ES" w:eastAsia="es-ES"/>
    </w:rPr>
  </w:style>
  <w:style w:type="character" w:customStyle="1" w:styleId="Titolo9Carattere">
    <w:name w:val="Titolo 9 Carattere"/>
    <w:link w:val="Titolo9"/>
    <w:rsid w:val="00996EF6"/>
    <w:rPr>
      <w:rFonts w:ascii="Calibri" w:hAnsi="Calibri"/>
      <w:sz w:val="22"/>
      <w:szCs w:val="22"/>
      <w:lang w:val="es-ES" w:eastAsia="es-ES"/>
    </w:rPr>
  </w:style>
  <w:style w:type="character" w:customStyle="1" w:styleId="Titolo1Carattere">
    <w:name w:val="Titolo 1 Carattere"/>
    <w:aliases w:val="IATED-Section Carattere"/>
    <w:link w:val="Titolo1"/>
    <w:rsid w:val="005E1742"/>
    <w:rPr>
      <w:rFonts w:ascii="Arial" w:hAnsi="Arial"/>
      <w:b/>
      <w:bCs/>
      <w:caps/>
      <w:kern w:val="32"/>
      <w:sz w:val="24"/>
      <w:szCs w:val="32"/>
    </w:rPr>
  </w:style>
  <w:style w:type="paragraph" w:styleId="Mappadocumento">
    <w:name w:val="Document Map"/>
    <w:basedOn w:val="Normale"/>
    <w:link w:val="MappadocumentoCarattere"/>
    <w:rsid w:val="001D548D"/>
    <w:rPr>
      <w:rFonts w:ascii="Lucida Grande" w:hAnsi="Lucida Grande"/>
      <w:sz w:val="24"/>
    </w:rPr>
  </w:style>
  <w:style w:type="character" w:customStyle="1" w:styleId="MappadocumentoCarattere">
    <w:name w:val="Mappa documento Carattere"/>
    <w:link w:val="Mappadocumento"/>
    <w:rsid w:val="001D548D"/>
    <w:rPr>
      <w:rFonts w:ascii="Lucida Grande" w:hAnsi="Lucida Grande"/>
      <w:sz w:val="24"/>
      <w:szCs w:val="24"/>
      <w:lang w:val="es-ES" w:eastAsia="es-ES"/>
    </w:rPr>
  </w:style>
  <w:style w:type="character" w:styleId="Rimandonotaapidipagina">
    <w:name w:val="footnote reference"/>
    <w:rsid w:val="005E1742"/>
    <w:rPr>
      <w:noProof w:val="0"/>
      <w:vertAlign w:val="superscript"/>
      <w:lang w:val="en-US"/>
    </w:rPr>
  </w:style>
  <w:style w:type="table" w:styleId="Grigliatabella">
    <w:name w:val="Table Grid"/>
    <w:basedOn w:val="Tabellanormale"/>
    <w:rsid w:val="00FD3B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aliases w:val="IATED Figures and Tables"/>
    <w:basedOn w:val="Normale"/>
    <w:next w:val="Normale"/>
    <w:rsid w:val="00BB5DEB"/>
    <w:pPr>
      <w:jc w:val="center"/>
    </w:pPr>
    <w:rPr>
      <w:bCs/>
      <w:i/>
      <w:szCs w:val="20"/>
    </w:rPr>
  </w:style>
  <w:style w:type="paragraph" w:styleId="Testofumetto">
    <w:name w:val="Balloon Text"/>
    <w:basedOn w:val="Normale"/>
    <w:link w:val="TestofumettoCarattere"/>
    <w:rsid w:val="00EA3A2C"/>
    <w:pPr>
      <w:spacing w:before="0" w:after="0"/>
    </w:pPr>
    <w:rPr>
      <w:rFonts w:ascii="Lucida Grande" w:hAnsi="Lucida Grande" w:cs="Lucida Grande"/>
      <w:sz w:val="18"/>
      <w:szCs w:val="18"/>
    </w:rPr>
  </w:style>
  <w:style w:type="character" w:customStyle="1" w:styleId="TestofumettoCarattere">
    <w:name w:val="Testo fumetto Carattere"/>
    <w:basedOn w:val="Carpredefinitoparagrafo"/>
    <w:link w:val="Testofumetto"/>
    <w:rsid w:val="00EA3A2C"/>
    <w:rPr>
      <w:rFonts w:ascii="Lucida Grande" w:hAnsi="Lucida Grande" w:cs="Lucida Grande"/>
      <w:sz w:val="18"/>
      <w:szCs w:val="18"/>
      <w:lang w:val="en-US"/>
    </w:rPr>
  </w:style>
  <w:style w:type="paragraph" w:customStyle="1" w:styleId="IATED-CaptionTables">
    <w:name w:val="IATED-CaptionTables"/>
    <w:basedOn w:val="Didascalia"/>
    <w:next w:val="Normale"/>
    <w:qFormat/>
    <w:rsid w:val="00EA3A2C"/>
    <w:pPr>
      <w:spacing w:before="240"/>
    </w:pPr>
    <w:rPr>
      <w:lang w:val="en-GB"/>
    </w:rPr>
  </w:style>
  <w:style w:type="paragraph" w:customStyle="1" w:styleId="IATED-CaptionFigures">
    <w:name w:val="IATED-CaptionFigures"/>
    <w:basedOn w:val="Didascalia"/>
    <w:next w:val="Normale"/>
    <w:qFormat/>
    <w:rsid w:val="00EA65F2"/>
    <w:pPr>
      <w:spacing w:after="240"/>
    </w:pPr>
    <w:rPr>
      <w:lang w:val="en-GB"/>
    </w:rPr>
  </w:style>
  <w:style w:type="character" w:styleId="Collegamentoipertestuale">
    <w:name w:val="Hyperlink"/>
    <w:basedOn w:val="Carpredefinitoparagrafo"/>
    <w:rsid w:val="00EA65F2"/>
    <w:rPr>
      <w:color w:val="auto"/>
      <w:u w:val="none"/>
    </w:rPr>
  </w:style>
  <w:style w:type="character" w:styleId="Collegamentovisitato">
    <w:name w:val="FollowedHyperlink"/>
    <w:basedOn w:val="Carpredefinitoparagrafo"/>
    <w:rsid w:val="00EA65F2"/>
    <w:rPr>
      <w:color w:val="auto"/>
      <w:u w:val="none"/>
    </w:rPr>
  </w:style>
  <w:style w:type="paragraph" w:styleId="Elenco">
    <w:name w:val="List"/>
    <w:basedOn w:val="Normale"/>
    <w:rsid w:val="00332D19"/>
    <w:pPr>
      <w:spacing w:before="60" w:after="60"/>
      <w:ind w:left="284" w:hanging="284"/>
      <w:contextualSpacing/>
    </w:pPr>
  </w:style>
  <w:style w:type="paragraph" w:customStyle="1" w:styleId="IATED-ACKREFERENCES">
    <w:name w:val="IATED-ACK &amp; REFERENCES"/>
    <w:basedOn w:val="Normale"/>
    <w:qFormat/>
    <w:rsid w:val="00F64142"/>
    <w:pPr>
      <w:keepNext/>
      <w:spacing w:before="360" w:after="60"/>
    </w:pPr>
    <w:rPr>
      <w:b/>
      <w:bCs/>
      <w:caps/>
      <w:sz w:val="24"/>
    </w:rPr>
  </w:style>
  <w:style w:type="paragraph" w:styleId="NormaleWeb">
    <w:name w:val="Normal (Web)"/>
    <w:basedOn w:val="Normale"/>
    <w:uiPriority w:val="99"/>
    <w:semiHidden/>
    <w:unhideWhenUsed/>
    <w:rsid w:val="00CD5D66"/>
    <w:pPr>
      <w:spacing w:before="100" w:beforeAutospacing="1" w:after="100" w:afterAutospacing="1"/>
      <w:jc w:val="left"/>
    </w:pPr>
    <w:rPr>
      <w:rFonts w:ascii="Times New Roman" w:hAnsi="Times New Roman"/>
      <w:sz w:val="24"/>
      <w:lang w:val="it-IT" w:eastAsia="it-IT"/>
    </w:rPr>
  </w:style>
  <w:style w:type="paragraph" w:customStyle="1" w:styleId="p">
    <w:name w:val="p"/>
    <w:basedOn w:val="Normale"/>
    <w:rsid w:val="004A757F"/>
    <w:pPr>
      <w:spacing w:before="100" w:beforeAutospacing="1" w:after="100" w:afterAutospacing="1"/>
      <w:jc w:val="left"/>
    </w:pPr>
    <w:rPr>
      <w:rFonts w:ascii="Times" w:eastAsiaTheme="minorEastAsia" w:hAnsi="Times" w:cstheme="minorBidi"/>
      <w:szCs w:val="20"/>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70891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1EA8C1-34DB-4F5F-8178-6088316C2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5456</Words>
  <Characters>31101</Characters>
  <Application>Microsoft Office Word</Application>
  <DocSecurity>0</DocSecurity>
  <Lines>259</Lines>
  <Paragraphs>72</Paragraphs>
  <ScaleCrop>false</ScaleCrop>
  <HeadingPairs>
    <vt:vector size="6" baseType="variant">
      <vt:variant>
        <vt:lpstr>Titolo</vt:lpstr>
      </vt:variant>
      <vt:variant>
        <vt:i4>1</vt:i4>
      </vt:variant>
      <vt:variant>
        <vt:lpstr>Título</vt:lpstr>
      </vt:variant>
      <vt:variant>
        <vt:i4>1</vt:i4>
      </vt:variant>
      <vt:variant>
        <vt:lpstr>Headings</vt:lpstr>
      </vt:variant>
      <vt:variant>
        <vt:i4>9</vt:i4>
      </vt:variant>
    </vt:vector>
  </HeadingPairs>
  <TitlesOfParts>
    <vt:vector size="11" baseType="lpstr">
      <vt:lpstr>IATED PAPER Template</vt:lpstr>
      <vt:lpstr>IATED PAPER Template</vt:lpstr>
      <vt:lpstr>INTRODUCTION [Arial, 12-point, bold, upper case and left alig.]</vt:lpstr>
      <vt:lpstr>METHODOLOGY</vt:lpstr>
      <vt:lpstr>RESULTS</vt:lpstr>
      <vt:lpstr>    Subsection [Arial 12, bold, left alignment and capitalize the first letter]</vt:lpstr>
      <vt:lpstr>        Sub-subsection: Guidelines for Abbreviations and Acronyms</vt:lpstr>
      <vt:lpstr>        Sub-subsection: Guidelines for Figures and Tables</vt:lpstr>
      <vt:lpstr>        Sub-subsection: Guidelines for Page numbers and Footnotes</vt:lpstr>
      <vt:lpstr>        Sub-subsection: Guidelines for References</vt:lpstr>
      <vt:lpstr>CONCLUSIONS</vt:lpstr>
    </vt:vector>
  </TitlesOfParts>
  <Manager/>
  <Company/>
  <LinksUpToDate>false</LinksUpToDate>
  <CharactersWithSpaces>36485</CharactersWithSpaces>
  <SharedDoc>false</SharedDoc>
  <HyperlinkBase/>
  <HLinks>
    <vt:vector size="6" baseType="variant">
      <vt:variant>
        <vt:i4>393226</vt:i4>
      </vt:variant>
      <vt:variant>
        <vt:i4>4577</vt:i4>
      </vt:variant>
      <vt:variant>
        <vt:i4>1025</vt:i4>
      </vt:variant>
      <vt:variant>
        <vt:i4>1</vt:i4>
      </vt:variant>
      <vt:variant>
        <vt:lpwstr>72883965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IATED PAPER Template</dc:title>
  <dc:subject/>
  <dc:creator/>
  <cp:keywords/>
  <dc:description/>
  <cp:lastModifiedBy/>
  <cp:revision>1</cp:revision>
  <cp:lastPrinted>2004-03-29T17:30:00Z</cp:lastPrinted>
  <dcterms:created xsi:type="dcterms:W3CDTF">2017-11-29T17:39:00Z</dcterms:created>
  <dcterms:modified xsi:type="dcterms:W3CDTF">2019-08-29T08:38:00Z</dcterms:modified>
  <cp:category/>
</cp:coreProperties>
</file>