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D95" w:rsidRPr="009E3D95" w:rsidRDefault="009E3D95" w:rsidP="009E3D95">
      <w:pPr>
        <w:pStyle w:val="Normale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222222"/>
          <w:sz w:val="19"/>
          <w:szCs w:val="19"/>
          <w:lang w:val="en-US"/>
        </w:rPr>
      </w:pPr>
      <w:r w:rsidRPr="009E3D95">
        <w:rPr>
          <w:rFonts w:ascii="Arial" w:hAnsi="Arial" w:cs="Arial"/>
          <w:b/>
          <w:bCs/>
          <w:color w:val="000000"/>
          <w:sz w:val="19"/>
          <w:szCs w:val="19"/>
          <w:lang w:val="en-US"/>
        </w:rPr>
        <w:t>CALL FOR PAPERS</w:t>
      </w:r>
    </w:p>
    <w:p w:rsidR="009E3D95" w:rsidRPr="009E3D95" w:rsidRDefault="009E3D95" w:rsidP="009E3D95">
      <w:pPr>
        <w:pStyle w:val="Normale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222222"/>
          <w:sz w:val="19"/>
          <w:szCs w:val="19"/>
          <w:lang w:val="en-US"/>
        </w:rPr>
      </w:pPr>
      <w:r w:rsidRPr="009E3D95">
        <w:rPr>
          <w:rFonts w:ascii="Arial" w:hAnsi="Arial" w:cs="Arial"/>
          <w:b/>
          <w:bCs/>
          <w:color w:val="000000"/>
          <w:sz w:val="19"/>
          <w:szCs w:val="19"/>
          <w:lang w:val="en-US"/>
        </w:rPr>
        <w:t>Association of American Geographers Annual Meeting</w:t>
      </w:r>
    </w:p>
    <w:p w:rsidR="009E3D95" w:rsidRDefault="009E3D95" w:rsidP="009E3D95">
      <w:pPr>
        <w:pStyle w:val="Normale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222222"/>
          <w:sz w:val="19"/>
          <w:szCs w:val="19"/>
        </w:rPr>
      </w:pPr>
      <w:r>
        <w:rPr>
          <w:rFonts w:ascii="Arial" w:hAnsi="Arial" w:cs="Arial"/>
          <w:b/>
          <w:bCs/>
          <w:color w:val="000000"/>
          <w:sz w:val="19"/>
          <w:szCs w:val="19"/>
        </w:rPr>
        <w:t xml:space="preserve">San Francisco, March 29 – </w:t>
      </w:r>
      <w:proofErr w:type="spellStart"/>
      <w:r>
        <w:rPr>
          <w:rFonts w:ascii="Arial" w:hAnsi="Arial" w:cs="Arial"/>
          <w:b/>
          <w:bCs/>
          <w:color w:val="000000"/>
          <w:sz w:val="19"/>
          <w:szCs w:val="19"/>
        </w:rPr>
        <w:t>April</w:t>
      </w:r>
      <w:proofErr w:type="spellEnd"/>
      <w:r>
        <w:rPr>
          <w:rFonts w:ascii="Arial" w:hAnsi="Arial" w:cs="Arial"/>
          <w:b/>
          <w:bCs/>
          <w:color w:val="000000"/>
          <w:sz w:val="19"/>
          <w:szCs w:val="19"/>
        </w:rPr>
        <w:t xml:space="preserve"> 2, 2016</w:t>
      </w:r>
    </w:p>
    <w:p w:rsidR="009E3D95" w:rsidRDefault="009E3D95" w:rsidP="008C1ABD">
      <w:pPr>
        <w:pStyle w:val="NormaleWeb"/>
        <w:shd w:val="clear" w:color="auto" w:fill="FFFFFF"/>
        <w:spacing w:before="0" w:beforeAutospacing="0" w:after="0" w:afterAutospacing="0"/>
        <w:jc w:val="center"/>
        <w:rPr>
          <w:lang w:val="en-US"/>
        </w:rPr>
      </w:pPr>
    </w:p>
    <w:p w:rsidR="007F7229" w:rsidRDefault="007F7229" w:rsidP="008C1ABD">
      <w:pPr>
        <w:pStyle w:val="NormaleWeb"/>
        <w:shd w:val="clear" w:color="auto" w:fill="FFFFFF"/>
        <w:spacing w:before="0" w:beforeAutospacing="0" w:after="0" w:afterAutospacing="0"/>
        <w:jc w:val="center"/>
        <w:rPr>
          <w:i/>
          <w:lang w:val="en-US"/>
        </w:rPr>
      </w:pPr>
      <w:r w:rsidRPr="009E3D95">
        <w:rPr>
          <w:i/>
          <w:lang w:val="en-US"/>
        </w:rPr>
        <w:t>Abstract proposal for</w:t>
      </w:r>
    </w:p>
    <w:p w:rsidR="009E3D95" w:rsidRPr="009E3D95" w:rsidRDefault="009E3D95" w:rsidP="008C1ABD">
      <w:pPr>
        <w:pStyle w:val="NormaleWeb"/>
        <w:shd w:val="clear" w:color="auto" w:fill="FFFFFF"/>
        <w:spacing w:before="0" w:beforeAutospacing="0" w:after="0" w:afterAutospacing="0"/>
        <w:jc w:val="center"/>
        <w:rPr>
          <w:lang w:val="en-US"/>
        </w:rPr>
      </w:pPr>
    </w:p>
    <w:p w:rsidR="008C1ABD" w:rsidRPr="008C1ABD" w:rsidRDefault="008C1ABD" w:rsidP="008C1ABD">
      <w:pPr>
        <w:pStyle w:val="NormaleWeb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color w:val="222222"/>
          <w:sz w:val="19"/>
          <w:szCs w:val="19"/>
          <w:lang w:val="en-US"/>
        </w:rPr>
      </w:pPr>
      <w:r>
        <w:rPr>
          <w:lang w:val="en-US"/>
        </w:rPr>
        <w:t xml:space="preserve"> </w:t>
      </w:r>
      <w:r w:rsidRPr="008C1ABD">
        <w:rPr>
          <w:rFonts w:ascii="Arial" w:hAnsi="Arial" w:cs="Arial"/>
          <w:b/>
          <w:bCs/>
          <w:color w:val="000000"/>
          <w:sz w:val="19"/>
          <w:szCs w:val="19"/>
          <w:lang w:val="en-US"/>
        </w:rPr>
        <w:t>Critical Logistics: Continuing Conversations</w:t>
      </w:r>
    </w:p>
    <w:p w:rsidR="008C1ABD" w:rsidRDefault="008C1ABD" w:rsidP="008C1ABD">
      <w:pPr>
        <w:pStyle w:val="NormaleWeb"/>
        <w:shd w:val="clear" w:color="auto" w:fill="FFFFFF"/>
        <w:spacing w:before="0" w:beforeAutospacing="0" w:after="0" w:afterAutospacing="0"/>
        <w:ind w:firstLine="720"/>
        <w:jc w:val="center"/>
        <w:rPr>
          <w:rFonts w:ascii="Arial" w:hAnsi="Arial" w:cs="Arial"/>
          <w:i/>
          <w:iCs/>
          <w:color w:val="000000"/>
          <w:sz w:val="19"/>
          <w:szCs w:val="19"/>
          <w:lang w:val="en-US"/>
        </w:rPr>
      </w:pPr>
      <w:r w:rsidRPr="008C1ABD">
        <w:rPr>
          <w:rFonts w:ascii="Arial" w:hAnsi="Arial" w:cs="Arial"/>
          <w:i/>
          <w:iCs/>
          <w:color w:val="000000"/>
          <w:sz w:val="19"/>
          <w:szCs w:val="19"/>
          <w:lang w:val="en-US"/>
        </w:rPr>
        <w:t>Sponsored by Economic Geography Specialty Group and Political Geography Specialty Group</w:t>
      </w:r>
    </w:p>
    <w:p w:rsidR="007F7229" w:rsidRDefault="007F7229" w:rsidP="008C1ABD">
      <w:pPr>
        <w:pStyle w:val="NormaleWeb"/>
        <w:shd w:val="clear" w:color="auto" w:fill="FFFFFF"/>
        <w:spacing w:before="0" w:beforeAutospacing="0" w:after="0" w:afterAutospacing="0"/>
        <w:ind w:firstLine="720"/>
        <w:jc w:val="center"/>
        <w:rPr>
          <w:rFonts w:ascii="Arial" w:hAnsi="Arial" w:cs="Arial"/>
          <w:iCs/>
          <w:color w:val="000000"/>
          <w:sz w:val="19"/>
          <w:szCs w:val="19"/>
          <w:lang w:val="en-US"/>
        </w:rPr>
      </w:pPr>
      <w:r>
        <w:rPr>
          <w:rFonts w:ascii="Arial" w:hAnsi="Arial" w:cs="Arial"/>
          <w:i/>
          <w:iCs/>
          <w:color w:val="000000"/>
          <w:sz w:val="19"/>
          <w:szCs w:val="19"/>
          <w:lang w:val="en-US"/>
        </w:rPr>
        <w:t>March 29 – April 2, 2016</w:t>
      </w:r>
    </w:p>
    <w:p w:rsidR="006E7B14" w:rsidRDefault="006E7B14" w:rsidP="008C1ABD">
      <w:pPr>
        <w:pStyle w:val="NormaleWeb"/>
        <w:shd w:val="clear" w:color="auto" w:fill="FFFFFF"/>
        <w:spacing w:before="0" w:beforeAutospacing="0" w:after="0" w:afterAutospacing="0"/>
        <w:ind w:firstLine="720"/>
        <w:jc w:val="center"/>
        <w:rPr>
          <w:rFonts w:ascii="Arial" w:hAnsi="Arial" w:cs="Arial"/>
          <w:iCs/>
          <w:color w:val="000000"/>
          <w:sz w:val="19"/>
          <w:szCs w:val="19"/>
          <w:lang w:val="en-US"/>
        </w:rPr>
      </w:pPr>
    </w:p>
    <w:p w:rsidR="006E7B14" w:rsidRDefault="006E7B14" w:rsidP="008C1ABD">
      <w:pPr>
        <w:pStyle w:val="NormaleWeb"/>
        <w:shd w:val="clear" w:color="auto" w:fill="FFFFFF"/>
        <w:spacing w:before="0" w:beforeAutospacing="0" w:after="0" w:afterAutospacing="0"/>
        <w:ind w:firstLine="720"/>
        <w:jc w:val="center"/>
        <w:rPr>
          <w:rFonts w:ascii="Arial" w:hAnsi="Arial" w:cs="Arial"/>
          <w:iCs/>
          <w:color w:val="000000"/>
          <w:sz w:val="19"/>
          <w:szCs w:val="19"/>
          <w:lang w:val="en-US"/>
        </w:rPr>
      </w:pPr>
    </w:p>
    <w:p w:rsidR="006E7B14" w:rsidRPr="006E7B14" w:rsidRDefault="006E7B14" w:rsidP="008C1ABD">
      <w:pPr>
        <w:pStyle w:val="NormaleWeb"/>
        <w:shd w:val="clear" w:color="auto" w:fill="FFFFFF"/>
        <w:spacing w:before="0" w:beforeAutospacing="0" w:after="0" w:afterAutospacing="0"/>
        <w:ind w:firstLine="720"/>
        <w:jc w:val="center"/>
        <w:rPr>
          <w:rFonts w:ascii="Arial" w:hAnsi="Arial" w:cs="Arial"/>
          <w:b/>
          <w:color w:val="222222"/>
          <w:sz w:val="19"/>
          <w:szCs w:val="19"/>
          <w:lang w:val="en-US"/>
        </w:rPr>
      </w:pPr>
      <w:r w:rsidRPr="006E7B14">
        <w:rPr>
          <w:rFonts w:ascii="Arial" w:hAnsi="Arial" w:cs="Arial"/>
          <w:b/>
          <w:iCs/>
          <w:color w:val="000000"/>
          <w:sz w:val="19"/>
          <w:szCs w:val="19"/>
          <w:lang w:val="en-US"/>
        </w:rPr>
        <w:t>The governance of urban infrastructure facing the local impact of logistic revolution</w:t>
      </w:r>
    </w:p>
    <w:p w:rsidR="006E7B14" w:rsidRDefault="006E7B14" w:rsidP="00245CEF">
      <w:pPr>
        <w:jc w:val="both"/>
        <w:rPr>
          <w:lang w:val="en-US"/>
        </w:rPr>
      </w:pPr>
    </w:p>
    <w:p w:rsidR="00942BA9" w:rsidRDefault="007A1341" w:rsidP="00245CEF">
      <w:pPr>
        <w:jc w:val="both"/>
        <w:rPr>
          <w:lang w:val="en-US"/>
        </w:rPr>
      </w:pPr>
      <w:r>
        <w:rPr>
          <w:lang w:val="en-US"/>
        </w:rPr>
        <w:t>T</w:t>
      </w:r>
      <w:r w:rsidR="00942BA9">
        <w:rPr>
          <w:lang w:val="en-US"/>
        </w:rPr>
        <w:t xml:space="preserve">his contribution aims at </w:t>
      </w:r>
      <w:r w:rsidR="008C1ABD">
        <w:rPr>
          <w:lang w:val="en-US"/>
        </w:rPr>
        <w:t>testing</w:t>
      </w:r>
      <w:r w:rsidR="00942BA9">
        <w:rPr>
          <w:lang w:val="en-US"/>
        </w:rPr>
        <w:t xml:space="preserve"> a theoretical framework to study the role of urban governance processes in regulating the retail structure change in urban economies </w:t>
      </w:r>
      <w:r w:rsidR="00FC3A18">
        <w:rPr>
          <w:lang w:val="en-US"/>
        </w:rPr>
        <w:t>due</w:t>
      </w:r>
      <w:r w:rsidR="00942BA9">
        <w:rPr>
          <w:lang w:val="en-US"/>
        </w:rPr>
        <w:t xml:space="preserve"> to the logistic revolution. </w:t>
      </w:r>
      <w:r w:rsidR="00245CEF">
        <w:rPr>
          <w:lang w:val="en-US"/>
        </w:rPr>
        <w:t xml:space="preserve">After the second world war some important urban area were provided with big </w:t>
      </w:r>
      <w:proofErr w:type="spellStart"/>
      <w:r w:rsidR="00245CEF">
        <w:rPr>
          <w:lang w:val="en-US"/>
        </w:rPr>
        <w:t>agri</w:t>
      </w:r>
      <w:proofErr w:type="spellEnd"/>
      <w:r w:rsidR="00245CEF">
        <w:rPr>
          <w:lang w:val="en-US"/>
        </w:rPr>
        <w:t xml:space="preserve">-food wholesale market infrastructure to organize the accessibility of food, its quality, and the economic transaction among wholesalers and retailers. </w:t>
      </w:r>
      <w:r w:rsidR="007F7229">
        <w:rPr>
          <w:lang w:val="en-US"/>
        </w:rPr>
        <w:t>L</w:t>
      </w:r>
      <w:r w:rsidR="00BE6FAA">
        <w:rPr>
          <w:lang w:val="en-US"/>
        </w:rPr>
        <w:t>ogistic</w:t>
      </w:r>
      <w:r w:rsidR="007F7229">
        <w:rPr>
          <w:lang w:val="en-US"/>
        </w:rPr>
        <w:t>s development</w:t>
      </w:r>
      <w:r w:rsidR="00BE6FAA">
        <w:rPr>
          <w:lang w:val="en-US"/>
        </w:rPr>
        <w:t xml:space="preserve"> </w:t>
      </w:r>
      <w:r w:rsidR="004B1CB4">
        <w:rPr>
          <w:lang w:val="en-US"/>
        </w:rPr>
        <w:t xml:space="preserve">has </w:t>
      </w:r>
      <w:r w:rsidR="00BE6FAA">
        <w:rPr>
          <w:lang w:val="en-US"/>
        </w:rPr>
        <w:t>promote</w:t>
      </w:r>
      <w:r w:rsidR="004B1CB4">
        <w:rPr>
          <w:lang w:val="en-US"/>
        </w:rPr>
        <w:t>d</w:t>
      </w:r>
      <w:r w:rsidR="00BE6FAA">
        <w:rPr>
          <w:lang w:val="en-US"/>
        </w:rPr>
        <w:t xml:space="preserve"> a change in the </w:t>
      </w:r>
      <w:r w:rsidR="0034441F">
        <w:rPr>
          <w:lang w:val="en-US"/>
        </w:rPr>
        <w:t>supply chain organization</w:t>
      </w:r>
      <w:r w:rsidR="007F7229">
        <w:rPr>
          <w:lang w:val="en-US"/>
        </w:rPr>
        <w:t>,</w:t>
      </w:r>
      <w:r w:rsidR="0034441F">
        <w:rPr>
          <w:lang w:val="en-US"/>
        </w:rPr>
        <w:t xml:space="preserve"> sustaining the opportunity for some grocery retailers to build their proper infrastructure network for the </w:t>
      </w:r>
      <w:r w:rsidR="00830AC2">
        <w:rPr>
          <w:lang w:val="en-US"/>
        </w:rPr>
        <w:t xml:space="preserve">perishable </w:t>
      </w:r>
      <w:r w:rsidR="0034441F">
        <w:rPr>
          <w:lang w:val="en-US"/>
        </w:rPr>
        <w:t>food distribution</w:t>
      </w:r>
      <w:r w:rsidR="00830AC2">
        <w:rPr>
          <w:lang w:val="en-US"/>
        </w:rPr>
        <w:t xml:space="preserve"> in competition with wholesale markets</w:t>
      </w:r>
      <w:r w:rsidR="0034441F">
        <w:rPr>
          <w:lang w:val="en-US"/>
        </w:rPr>
        <w:t>.</w:t>
      </w:r>
      <w:r w:rsidR="00FD743A">
        <w:rPr>
          <w:lang w:val="en-US"/>
        </w:rPr>
        <w:t xml:space="preserve"> The rising of supermarkets in Europe </w:t>
      </w:r>
      <w:r w:rsidR="007F7229">
        <w:rPr>
          <w:lang w:val="en-US"/>
        </w:rPr>
        <w:t>affected</w:t>
      </w:r>
      <w:r w:rsidR="00FD743A">
        <w:rPr>
          <w:lang w:val="en-US"/>
        </w:rPr>
        <w:t xml:space="preserve"> the retailing structure favoring a concentration process to the detriment to small retailers that in some cases </w:t>
      </w:r>
      <w:r>
        <w:rPr>
          <w:lang w:val="en-US"/>
        </w:rPr>
        <w:t>experienced</w:t>
      </w:r>
      <w:r w:rsidR="00FD743A">
        <w:rPr>
          <w:lang w:val="en-US"/>
        </w:rPr>
        <w:t xml:space="preserve"> </w:t>
      </w:r>
      <w:r>
        <w:rPr>
          <w:lang w:val="en-US"/>
        </w:rPr>
        <w:t xml:space="preserve">a </w:t>
      </w:r>
      <w:r w:rsidR="00FD743A">
        <w:rPr>
          <w:lang w:val="en-US"/>
        </w:rPr>
        <w:t xml:space="preserve">dramatically shrank </w:t>
      </w:r>
      <w:r>
        <w:rPr>
          <w:lang w:val="en-US"/>
        </w:rPr>
        <w:t xml:space="preserve">in urban areas </w:t>
      </w:r>
      <w:r w:rsidR="00FD743A">
        <w:rPr>
          <w:lang w:val="en-US"/>
        </w:rPr>
        <w:t>during the 1990s.</w:t>
      </w:r>
      <w:r w:rsidR="00830AC2">
        <w:rPr>
          <w:lang w:val="en-US"/>
        </w:rPr>
        <w:t xml:space="preserve"> </w:t>
      </w:r>
      <w:r>
        <w:rPr>
          <w:lang w:val="en-US"/>
        </w:rPr>
        <w:t>A</w:t>
      </w:r>
      <w:r w:rsidR="001F4C5A">
        <w:rPr>
          <w:lang w:val="en-US"/>
        </w:rPr>
        <w:t>s other urban infrastructures, they can be considered as the results of political, social and economic forces compromises</w:t>
      </w:r>
      <w:r>
        <w:rPr>
          <w:lang w:val="en-US"/>
        </w:rPr>
        <w:t xml:space="preserve">. </w:t>
      </w:r>
      <w:r w:rsidR="008663BC">
        <w:rPr>
          <w:lang w:val="en-US"/>
        </w:rPr>
        <w:t>Understand</w:t>
      </w:r>
      <w:r w:rsidR="00FC3A18">
        <w:rPr>
          <w:lang w:val="en-US"/>
        </w:rPr>
        <w:t>ing</w:t>
      </w:r>
      <w:r w:rsidR="008663BC">
        <w:rPr>
          <w:lang w:val="en-US"/>
        </w:rPr>
        <w:t xml:space="preserve"> the way urban governments buffer the impact of perishable food logistic on their urban economic structure </w:t>
      </w:r>
      <w:r w:rsidR="00FC3A18">
        <w:rPr>
          <w:lang w:val="en-US"/>
        </w:rPr>
        <w:t>ask for</w:t>
      </w:r>
      <w:r w:rsidR="008663BC">
        <w:rPr>
          <w:lang w:val="en-US"/>
        </w:rPr>
        <w:t xml:space="preserve"> consider</w:t>
      </w:r>
      <w:r w:rsidR="00FC3A18">
        <w:rPr>
          <w:lang w:val="en-US"/>
        </w:rPr>
        <w:t>ing</w:t>
      </w:r>
      <w:r w:rsidR="008663BC">
        <w:rPr>
          <w:lang w:val="en-US"/>
        </w:rPr>
        <w:t xml:space="preserve"> two features of these infrastructures: their long-standing presence in the urban fabric and their political dimension. A path dependence theoretical approach and a neo-institutional framework are developed to tracing the change of infrastructural policies in two case studies, Milan and Paris.</w:t>
      </w:r>
      <w:r w:rsidR="00FC3A18">
        <w:rPr>
          <w:lang w:val="en-US"/>
        </w:rPr>
        <w:t xml:space="preserve"> </w:t>
      </w:r>
      <w:r w:rsidR="007F7229">
        <w:rPr>
          <w:lang w:val="en-US"/>
        </w:rPr>
        <w:t>A</w:t>
      </w:r>
      <w:r w:rsidR="00FC3A18">
        <w:rPr>
          <w:lang w:val="en-US"/>
        </w:rPr>
        <w:t>rchive work, policy analysis, interviews to key informants allowed to grasp the role of the institutional configuration</w:t>
      </w:r>
      <w:r w:rsidR="007F7229">
        <w:rPr>
          <w:lang w:val="en-US"/>
        </w:rPr>
        <w:t xml:space="preserve">, and of its change during time, </w:t>
      </w:r>
      <w:r w:rsidR="00FC3A18">
        <w:rPr>
          <w:lang w:val="en-US"/>
        </w:rPr>
        <w:t xml:space="preserve"> in triggering the social mechanism </w:t>
      </w:r>
      <w:r w:rsidR="007F7229">
        <w:rPr>
          <w:lang w:val="en-US"/>
        </w:rPr>
        <w:t>that drive the public action related to the two infrastructures considered.</w:t>
      </w:r>
    </w:p>
    <w:p w:rsidR="009E3D95" w:rsidRDefault="009E3D95" w:rsidP="00245CEF">
      <w:pPr>
        <w:jc w:val="both"/>
        <w:rPr>
          <w:lang w:val="en-US"/>
        </w:rPr>
      </w:pPr>
    </w:p>
    <w:p w:rsidR="009E3D95" w:rsidRPr="009E3D95" w:rsidRDefault="009E3D95" w:rsidP="00245CEF">
      <w:pPr>
        <w:jc w:val="both"/>
        <w:rPr>
          <w:i/>
        </w:rPr>
      </w:pPr>
      <w:r w:rsidRPr="009E3D95">
        <w:rPr>
          <w:i/>
        </w:rPr>
        <w:t xml:space="preserve">Alessandro </w:t>
      </w:r>
      <w:proofErr w:type="spellStart"/>
      <w:r w:rsidRPr="009E3D95">
        <w:rPr>
          <w:i/>
        </w:rPr>
        <w:t>Maggioni</w:t>
      </w:r>
      <w:proofErr w:type="spellEnd"/>
      <w:r w:rsidRPr="009E3D95">
        <w:rPr>
          <w:i/>
        </w:rPr>
        <w:t xml:space="preserve"> </w:t>
      </w:r>
    </w:p>
    <w:p w:rsidR="009E3D95" w:rsidRPr="009E3D95" w:rsidRDefault="009E3D95" w:rsidP="00245CEF">
      <w:pPr>
        <w:jc w:val="both"/>
      </w:pPr>
      <w:r w:rsidRPr="009E3D95">
        <w:t>alessandro.maggioni@sciencespo.fr</w:t>
      </w:r>
    </w:p>
    <w:p w:rsidR="009E3D95" w:rsidRPr="009E3D95" w:rsidRDefault="009E3D95" w:rsidP="009E3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US" w:eastAsia="it-IT"/>
        </w:rPr>
      </w:pPr>
      <w:r w:rsidRPr="009E3D95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PhD Student URBEUR - Urban and Local European Studies</w:t>
      </w:r>
      <w:r w:rsidRPr="009E3D95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proofErr w:type="spellStart"/>
      <w:r w:rsidRPr="009E3D95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Bicocca</w:t>
      </w:r>
      <w:proofErr w:type="spellEnd"/>
      <w:r w:rsidRPr="009E3D95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 xml:space="preserve"> University of Milan, Italy</w:t>
      </w:r>
      <w:r w:rsidRPr="009E3D95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Dept. of Sociology and Social Research</w:t>
      </w:r>
    </w:p>
    <w:p w:rsidR="009E3D95" w:rsidRDefault="009E3D95" w:rsidP="009E3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val="fr-FR" w:eastAsia="it-IT"/>
        </w:rPr>
      </w:pPr>
    </w:p>
    <w:p w:rsidR="009E3D95" w:rsidRPr="009E3D95" w:rsidRDefault="009E3D95" w:rsidP="009E3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val="fr-FR" w:eastAsia="it-IT"/>
        </w:rPr>
      </w:pPr>
      <w:proofErr w:type="spellStart"/>
      <w:r w:rsidRPr="009E3D95">
        <w:rPr>
          <w:rFonts w:ascii="Arial" w:eastAsia="Times New Roman" w:hAnsi="Arial" w:cs="Arial"/>
          <w:color w:val="222222"/>
          <w:sz w:val="20"/>
          <w:szCs w:val="20"/>
          <w:lang w:val="fr-FR" w:eastAsia="it-IT"/>
        </w:rPr>
        <w:t>PhD</w:t>
      </w:r>
      <w:proofErr w:type="spellEnd"/>
      <w:r w:rsidRPr="009E3D95">
        <w:rPr>
          <w:rFonts w:ascii="Arial" w:eastAsia="Times New Roman" w:hAnsi="Arial" w:cs="Arial"/>
          <w:color w:val="222222"/>
          <w:sz w:val="20"/>
          <w:szCs w:val="20"/>
          <w:lang w:val="fr-FR" w:eastAsia="it-IT"/>
        </w:rPr>
        <w:t xml:space="preserve"> </w:t>
      </w:r>
      <w:proofErr w:type="spellStart"/>
      <w:r w:rsidRPr="009E3D95">
        <w:rPr>
          <w:rFonts w:ascii="Arial" w:eastAsia="Times New Roman" w:hAnsi="Arial" w:cs="Arial"/>
          <w:color w:val="222222"/>
          <w:sz w:val="20"/>
          <w:szCs w:val="20"/>
          <w:lang w:val="fr-FR" w:eastAsia="it-IT"/>
        </w:rPr>
        <w:t>Student</w:t>
      </w:r>
      <w:proofErr w:type="spellEnd"/>
      <w:r w:rsidRPr="009E3D95">
        <w:rPr>
          <w:rFonts w:ascii="Arial" w:eastAsia="Times New Roman" w:hAnsi="Arial" w:cs="Arial"/>
          <w:color w:val="222222"/>
          <w:sz w:val="20"/>
          <w:szCs w:val="20"/>
          <w:lang w:val="fr-FR" w:eastAsia="it-IT"/>
        </w:rPr>
        <w:t xml:space="preserve"> Ecole Doctorale - Sociologie</w:t>
      </w:r>
    </w:p>
    <w:p w:rsidR="009E3D95" w:rsidRPr="009E3D95" w:rsidRDefault="009E3D95" w:rsidP="009E3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val="fr-FR" w:eastAsia="it-IT"/>
        </w:rPr>
      </w:pPr>
      <w:r w:rsidRPr="009E3D95">
        <w:rPr>
          <w:rFonts w:ascii="Arial" w:eastAsia="Times New Roman" w:hAnsi="Arial" w:cs="Arial"/>
          <w:color w:val="222222"/>
          <w:sz w:val="20"/>
          <w:szCs w:val="20"/>
          <w:lang w:val="fr-FR" w:eastAsia="it-IT"/>
        </w:rPr>
        <w:t>Sciences Po, Paris</w:t>
      </w:r>
    </w:p>
    <w:p w:rsidR="009E3D95" w:rsidRPr="009E3D95" w:rsidRDefault="009E3D95" w:rsidP="009E3D9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19"/>
          <w:szCs w:val="19"/>
          <w:lang w:val="fr-FR" w:eastAsia="it-IT"/>
        </w:rPr>
      </w:pPr>
      <w:r w:rsidRPr="009E3D95">
        <w:rPr>
          <w:rFonts w:ascii="Arial" w:eastAsia="Times New Roman" w:hAnsi="Arial" w:cs="Arial"/>
          <w:color w:val="222222"/>
          <w:sz w:val="19"/>
          <w:szCs w:val="19"/>
          <w:lang w:val="fr-FR" w:eastAsia="it-IT"/>
        </w:rPr>
        <w:t>Centre d'Etudes Européennes</w:t>
      </w:r>
    </w:p>
    <w:p w:rsidR="007F7229" w:rsidRDefault="007F7229" w:rsidP="00245CEF">
      <w:pPr>
        <w:jc w:val="both"/>
        <w:rPr>
          <w:lang w:val="en-US"/>
        </w:rPr>
      </w:pPr>
    </w:p>
    <w:p w:rsidR="00C04171" w:rsidRDefault="00C04171" w:rsidP="00245CEF">
      <w:pPr>
        <w:jc w:val="both"/>
        <w:rPr>
          <w:lang w:val="en-US"/>
        </w:rPr>
      </w:pPr>
    </w:p>
    <w:p w:rsidR="00942BA9" w:rsidRDefault="00942BA9">
      <w:pPr>
        <w:rPr>
          <w:lang w:val="en-US"/>
        </w:rPr>
      </w:pPr>
    </w:p>
    <w:sectPr w:rsidR="00942BA9" w:rsidSect="0090253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3D95" w:rsidRDefault="009E3D95" w:rsidP="009E3D95">
      <w:pPr>
        <w:spacing w:after="0" w:line="240" w:lineRule="auto"/>
      </w:pPr>
      <w:r>
        <w:separator/>
      </w:r>
    </w:p>
  </w:endnote>
  <w:endnote w:type="continuationSeparator" w:id="0">
    <w:p w:rsidR="009E3D95" w:rsidRDefault="009E3D95" w:rsidP="009E3D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3D95" w:rsidRDefault="009E3D95" w:rsidP="009E3D95">
      <w:pPr>
        <w:spacing w:after="0" w:line="240" w:lineRule="auto"/>
      </w:pPr>
      <w:r>
        <w:separator/>
      </w:r>
    </w:p>
  </w:footnote>
  <w:footnote w:type="continuationSeparator" w:id="0">
    <w:p w:rsidR="009E3D95" w:rsidRDefault="009E3D95" w:rsidP="009E3D9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42BA9"/>
    <w:rsid w:val="00032E1F"/>
    <w:rsid w:val="00070B78"/>
    <w:rsid w:val="001F4C5A"/>
    <w:rsid w:val="00245CEF"/>
    <w:rsid w:val="002632EF"/>
    <w:rsid w:val="0034441F"/>
    <w:rsid w:val="004B1CB4"/>
    <w:rsid w:val="006E7B14"/>
    <w:rsid w:val="007A1341"/>
    <w:rsid w:val="007F7229"/>
    <w:rsid w:val="00830AC2"/>
    <w:rsid w:val="008663BC"/>
    <w:rsid w:val="008C1ABD"/>
    <w:rsid w:val="00902531"/>
    <w:rsid w:val="00942BA9"/>
    <w:rsid w:val="009E3D95"/>
    <w:rsid w:val="00AB5C0B"/>
    <w:rsid w:val="00B322AA"/>
    <w:rsid w:val="00BE6FAA"/>
    <w:rsid w:val="00C04171"/>
    <w:rsid w:val="00C82A22"/>
    <w:rsid w:val="00E92254"/>
    <w:rsid w:val="00FC3A18"/>
    <w:rsid w:val="00FD74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025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8C1A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9E3D9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9E3D95"/>
  </w:style>
  <w:style w:type="paragraph" w:styleId="Pidipagina">
    <w:name w:val="footer"/>
    <w:basedOn w:val="Normale"/>
    <w:link w:val="PidipaginaCarattere"/>
    <w:uiPriority w:val="99"/>
    <w:semiHidden/>
    <w:unhideWhenUsed/>
    <w:rsid w:val="009E3D9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9E3D9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679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99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690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83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49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901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44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512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1</Pages>
  <Words>353</Words>
  <Characters>2034</Characters>
  <Application>Microsoft Office Word</Application>
  <DocSecurity>0</DocSecurity>
  <Lines>25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dcterms:created xsi:type="dcterms:W3CDTF">2015-10-01T13:36:00Z</dcterms:created>
  <dcterms:modified xsi:type="dcterms:W3CDTF">2015-10-01T17:31:00Z</dcterms:modified>
</cp:coreProperties>
</file>