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76393F" w14:textId="77777777" w:rsidR="00061155" w:rsidRDefault="00061155" w:rsidP="00D40F56">
      <w:pPr>
        <w:spacing w:after="200" w:line="276" w:lineRule="auto"/>
        <w:ind w:firstLine="0"/>
        <w:jc w:val="both"/>
      </w:pPr>
    </w:p>
    <w:p w14:paraId="727EE593" w14:textId="554A84CC" w:rsidR="00061155" w:rsidRDefault="00FB206C">
      <w:pPr>
        <w:spacing w:after="200" w:line="276" w:lineRule="auto"/>
        <w:ind w:firstLine="0"/>
      </w:pPr>
      <w:r w:rsidRPr="00FB206C">
        <w:rPr>
          <w:highlight w:val="yellow"/>
        </w:rPr>
        <w:t>The manuscript has been accepted for publication in the European Journal of Personality.</w:t>
      </w:r>
    </w:p>
    <w:p w14:paraId="5C16BCB4" w14:textId="77777777" w:rsidR="00FB206C" w:rsidRPr="00FB206C" w:rsidRDefault="00FB206C" w:rsidP="00FB206C">
      <w:pPr>
        <w:pStyle w:val="NormaleWeb"/>
        <w:ind w:left="480" w:hanging="480"/>
        <w:rPr>
          <w:lang w:val="it-IT" w:eastAsia="it-IT"/>
        </w:rPr>
      </w:pPr>
      <w:r w:rsidRPr="00FB206C">
        <w:rPr>
          <w:highlight w:val="yellow"/>
        </w:rPr>
        <w:t xml:space="preserve">Please, cite as: </w:t>
      </w:r>
      <w:r w:rsidRPr="00FB206C">
        <w:rPr>
          <w:highlight w:val="yellow"/>
          <w:lang w:eastAsia="it-IT"/>
        </w:rPr>
        <w:t xml:space="preserve">Costantini, G., &amp; Perugini, M. (2018). A framework for testing causality in personality research. </w:t>
      </w:r>
      <w:r w:rsidRPr="00FB206C">
        <w:rPr>
          <w:i/>
          <w:iCs/>
          <w:highlight w:val="yellow"/>
          <w:lang w:val="it-IT" w:eastAsia="it-IT"/>
        </w:rPr>
        <w:t>European Journal of Personality</w:t>
      </w:r>
      <w:r w:rsidRPr="00FB206C">
        <w:rPr>
          <w:highlight w:val="yellow"/>
          <w:lang w:val="it-IT" w:eastAsia="it-IT"/>
        </w:rPr>
        <w:t>. https://doi.org/10.1002/per.2150</w:t>
      </w:r>
    </w:p>
    <w:p w14:paraId="26D5692B" w14:textId="6EF9DB98" w:rsidR="00FB206C" w:rsidRDefault="00FB206C">
      <w:pPr>
        <w:spacing w:after="200" w:line="276" w:lineRule="auto"/>
        <w:ind w:firstLine="0"/>
      </w:pPr>
      <w:bookmarkStart w:id="0" w:name="_GoBack"/>
      <w:bookmarkEnd w:id="0"/>
    </w:p>
    <w:p w14:paraId="093A2161" w14:textId="77777777" w:rsidR="00061155" w:rsidRDefault="00061155">
      <w:pPr>
        <w:spacing w:after="200" w:line="276" w:lineRule="auto"/>
        <w:ind w:firstLine="0"/>
      </w:pPr>
    </w:p>
    <w:p w14:paraId="161F4C26" w14:textId="77777777" w:rsidR="00061155" w:rsidRDefault="00061155">
      <w:pPr>
        <w:spacing w:after="200" w:line="276" w:lineRule="auto"/>
        <w:ind w:firstLine="0"/>
      </w:pPr>
    </w:p>
    <w:p w14:paraId="49B91356" w14:textId="77777777" w:rsidR="00061155" w:rsidRDefault="00061155">
      <w:pPr>
        <w:spacing w:after="200" w:line="276" w:lineRule="auto"/>
        <w:ind w:firstLine="0"/>
      </w:pPr>
    </w:p>
    <w:p w14:paraId="5C27B9A9" w14:textId="77777777" w:rsidR="00061155" w:rsidRDefault="00061155">
      <w:pPr>
        <w:spacing w:after="200" w:line="276" w:lineRule="auto"/>
        <w:ind w:firstLine="0"/>
      </w:pPr>
    </w:p>
    <w:p w14:paraId="7B0A660D" w14:textId="77777777" w:rsidR="00061155" w:rsidRDefault="00061155">
      <w:pPr>
        <w:pStyle w:val="Titolo1"/>
      </w:pPr>
      <w:r>
        <w:rPr>
          <w:b w:val="0"/>
          <w:szCs w:val="24"/>
        </w:rPr>
        <w:t>A Framework for Testing Causality in Personality Research</w:t>
      </w:r>
    </w:p>
    <w:p w14:paraId="58FA02DF" w14:textId="77777777" w:rsidR="00061155" w:rsidRDefault="00061155">
      <w:pPr>
        <w:rPr>
          <w:b/>
          <w:szCs w:val="24"/>
        </w:rPr>
      </w:pPr>
    </w:p>
    <w:p w14:paraId="0A4D127C" w14:textId="77777777" w:rsidR="00061155" w:rsidRPr="00D40F56" w:rsidRDefault="00061155">
      <w:pPr>
        <w:pStyle w:val="Normale1"/>
        <w:spacing w:line="480" w:lineRule="auto"/>
        <w:ind w:firstLine="567"/>
        <w:jc w:val="center"/>
        <w:rPr>
          <w:lang w:val="it-IT"/>
        </w:rPr>
      </w:pPr>
      <w:r>
        <w:rPr>
          <w:rFonts w:ascii="Times New Roman" w:eastAsia="Times New Roman" w:hAnsi="Times New Roman" w:cs="Times New Roman"/>
          <w:sz w:val="24"/>
          <w:lang w:val="it-IT"/>
        </w:rPr>
        <w:t>Giulio Costantini, Marco Perugini</w:t>
      </w:r>
    </w:p>
    <w:p w14:paraId="49CAE0FC" w14:textId="77777777" w:rsidR="00061155" w:rsidRDefault="00061155">
      <w:pPr>
        <w:pStyle w:val="ApaNormale"/>
        <w:rPr>
          <w:lang w:val="it-IT"/>
        </w:rPr>
      </w:pPr>
    </w:p>
    <w:p w14:paraId="0725F765" w14:textId="77777777" w:rsidR="00061155" w:rsidRDefault="00061155">
      <w:pPr>
        <w:pStyle w:val="ApaNormale"/>
        <w:rPr>
          <w:lang w:val="it-IT"/>
        </w:rPr>
      </w:pPr>
    </w:p>
    <w:p w14:paraId="56909AFB" w14:textId="77777777" w:rsidR="00061155" w:rsidRPr="00D40F56" w:rsidRDefault="00061155">
      <w:pPr>
        <w:pStyle w:val="Normale1"/>
        <w:spacing w:line="480" w:lineRule="auto"/>
        <w:rPr>
          <w:lang w:val="it-IT"/>
        </w:rPr>
      </w:pPr>
      <w:r>
        <w:rPr>
          <w:rFonts w:ascii="Times New Roman" w:eastAsia="Times New Roman" w:hAnsi="Times New Roman" w:cs="Times New Roman"/>
          <w:sz w:val="24"/>
          <w:lang w:val="it-IT"/>
        </w:rPr>
        <w:t>Department of Psychology, University of Milan-Bicocca, Piazza dell’Ateneo Nuovo 1 (U6), 20126 Milan, Italy</w:t>
      </w:r>
    </w:p>
    <w:p w14:paraId="04967F5B" w14:textId="77777777" w:rsidR="00061155" w:rsidRDefault="00061155">
      <w:pPr>
        <w:pStyle w:val="ApaNormale"/>
        <w:rPr>
          <w:rFonts w:eastAsia="Times New Roman"/>
          <w:lang w:val="it-IT"/>
        </w:rPr>
      </w:pPr>
    </w:p>
    <w:p w14:paraId="1CA07651" w14:textId="77777777" w:rsidR="00061155" w:rsidRDefault="00061155">
      <w:pPr>
        <w:pStyle w:val="ApaNormale"/>
        <w:rPr>
          <w:lang w:val="it-IT"/>
        </w:rPr>
      </w:pPr>
    </w:p>
    <w:p w14:paraId="52E7B400" w14:textId="77777777" w:rsidR="00061155" w:rsidRDefault="00061155">
      <w:pPr>
        <w:pStyle w:val="Normale1"/>
        <w:spacing w:line="480" w:lineRule="auto"/>
      </w:pPr>
      <w:r>
        <w:rPr>
          <w:rFonts w:ascii="Times New Roman" w:eastAsia="Times New Roman" w:hAnsi="Times New Roman" w:cs="Times New Roman"/>
          <w:sz w:val="24"/>
        </w:rPr>
        <w:t xml:space="preserve">Correspondence concerning this article should be addressed to Giulio Costantini, </w:t>
      </w:r>
      <w:hyperlink r:id="rId8" w:history="1">
        <w:r>
          <w:rPr>
            <w:rStyle w:val="Collegamentoipertestuale"/>
          </w:rPr>
          <w:t>giulio.costantini@unimib.it</w:t>
        </w:r>
      </w:hyperlink>
      <w:r>
        <w:rPr>
          <w:rFonts w:ascii="Times New Roman" w:eastAsia="Times New Roman" w:hAnsi="Times New Roman" w:cs="Times New Roman"/>
          <w:sz w:val="24"/>
        </w:rPr>
        <w:t>, phone: +39-02-6448-3718</w:t>
      </w:r>
    </w:p>
    <w:p w14:paraId="1DF15525" w14:textId="77777777" w:rsidR="00061155" w:rsidRDefault="00061155">
      <w:pPr>
        <w:pageBreakBefore/>
        <w:spacing w:after="200" w:line="276" w:lineRule="auto"/>
        <w:ind w:firstLine="0"/>
        <w:rPr>
          <w:rFonts w:ascii="Times New Roman" w:eastAsia="Times New Roman" w:hAnsi="Times New Roman"/>
          <w:sz w:val="24"/>
          <w:szCs w:val="24"/>
        </w:rPr>
      </w:pPr>
    </w:p>
    <w:p w14:paraId="4E5C2A8E" w14:textId="77777777" w:rsidR="00061155" w:rsidRDefault="00061155">
      <w:pPr>
        <w:pStyle w:val="Titolo1"/>
      </w:pPr>
      <w:r>
        <w:t>Abstract</w:t>
      </w:r>
    </w:p>
    <w:p w14:paraId="40D979AE" w14:textId="352CA215" w:rsidR="00061155" w:rsidRDefault="00061155">
      <w:pPr>
        <w:pStyle w:val="ApaNormale"/>
        <w:ind w:firstLine="0"/>
      </w:pPr>
      <w:r>
        <w:t xml:space="preserve">Causal explanations in personality require conceptual clarity about alternative causal conditions that could, even in principle, affect personality. These causal conditions crucially depend on the theoretical model </w:t>
      </w:r>
      <w:r>
        <w:rPr>
          <w:szCs w:val="24"/>
        </w:rPr>
        <w:t xml:space="preserve">of personality, each model constraining the possibility of planning and </w:t>
      </w:r>
      <w:r>
        <w:t xml:space="preserve">performing causal research in different ways. We discuss how some prominent models of personality allow for specific types of causal research and impede others. We then discuss causality from a network perspective, which sees personality as a phenomenon that emerges from a network of behaviors and environments over time. From a methodological perspective, we propose a three-step strategy to investigate causality: (1) Identify a candidate target for manipulation (e.g., using network analysis), (2) identify and test a manipulation (e.g., using laboratory research), (3) deliver the manipulation repeatedly </w:t>
      </w:r>
      <w:r>
        <w:rPr>
          <w:szCs w:val="24"/>
        </w:rPr>
        <w:t>for a congruous amount of time (e.g., using ecological momentary interventions) and evaluate its ability to generate trait change. We discuss how</w:t>
      </w:r>
      <w:r w:rsidR="00296665">
        <w:rPr>
          <w:szCs w:val="24"/>
        </w:rPr>
        <w:t xml:space="preserve"> a</w:t>
      </w:r>
      <w:r>
        <w:rPr>
          <w:szCs w:val="24"/>
        </w:rPr>
        <w:t xml:space="preserve"> part of these steps was implemented for trait conscientiousness and present a detailed plan for implementing the remaining steps.</w:t>
      </w:r>
    </w:p>
    <w:p w14:paraId="721DD7DB" w14:textId="77777777" w:rsidR="00061155" w:rsidRDefault="00061155">
      <w:pPr>
        <w:pStyle w:val="ApaNormale"/>
        <w:ind w:firstLine="0"/>
        <w:rPr>
          <w:szCs w:val="24"/>
        </w:rPr>
      </w:pPr>
    </w:p>
    <w:p w14:paraId="7DEEEFFB" w14:textId="77777777" w:rsidR="00061155" w:rsidRDefault="00061155">
      <w:pPr>
        <w:pStyle w:val="ApaNormale"/>
        <w:ind w:firstLine="0"/>
      </w:pPr>
      <w:r>
        <w:rPr>
          <w:szCs w:val="24"/>
        </w:rPr>
        <w:t>Keywords: causality, networks, emergence, conscientiousness, goals.</w:t>
      </w:r>
    </w:p>
    <w:p w14:paraId="5279611A" w14:textId="77777777" w:rsidR="00061155" w:rsidRDefault="00061155">
      <w:pPr>
        <w:pageBreakBefore/>
        <w:spacing w:after="200" w:line="276" w:lineRule="auto"/>
        <w:ind w:firstLine="0"/>
        <w:rPr>
          <w:rFonts w:ascii="Times New Roman" w:hAnsi="Times New Roman"/>
          <w:sz w:val="24"/>
          <w:szCs w:val="24"/>
        </w:rPr>
      </w:pPr>
    </w:p>
    <w:p w14:paraId="158EF219" w14:textId="77777777" w:rsidR="00061155" w:rsidRDefault="00061155">
      <w:pPr>
        <w:pStyle w:val="Titolo1"/>
      </w:pPr>
      <w:r>
        <w:rPr>
          <w:b w:val="0"/>
          <w:szCs w:val="24"/>
        </w:rPr>
        <w:t>A Framework for Testing Causality in Personality Research</w:t>
      </w:r>
    </w:p>
    <w:p w14:paraId="27EA5FC8" w14:textId="77777777" w:rsidR="00061155" w:rsidRDefault="00061155">
      <w:pPr>
        <w:pStyle w:val="ApaNormale"/>
        <w:rPr>
          <w:b/>
          <w:szCs w:val="24"/>
        </w:rPr>
      </w:pPr>
    </w:p>
    <w:p w14:paraId="6569460F" w14:textId="77777777" w:rsidR="00061155" w:rsidRDefault="00061155">
      <w:pPr>
        <w:pStyle w:val="ApaNormale"/>
      </w:pPr>
      <w:r>
        <w:rPr>
          <w:szCs w:val="24"/>
        </w:rPr>
        <w:t xml:space="preserve">A special issue about causal explanations in personality research is itself a symptom that causality and personality never went along very well. According to the widely accepted counterfactual conception of causality, causal claims require the identification of precise causal states to which members of the population could be exposed, at least hypothetically. Causal effects can be defined from the comparisons of outcomes resulting from being exposed to these alternative causal states, all else being kept equal </w:t>
      </w:r>
      <w:r w:rsidRPr="00FB206C">
        <w:rPr>
          <w:szCs w:val="24"/>
          <w:lang w:eastAsia="it-IT"/>
        </w:rPr>
        <w:t>(Hedström &amp; Ylikoski, 2010; Morgan &amp; Winship, 2015)</w:t>
      </w:r>
      <w:r>
        <w:rPr>
          <w:szCs w:val="24"/>
        </w:rPr>
        <w:t xml:space="preserve">. By definition, not all outcomes can be observed for each individual and therefore, without a time machine available, even in the best-case scenario causal effects cannot be simply computed </w:t>
      </w:r>
      <w:r w:rsidRPr="00FB206C">
        <w:rPr>
          <w:szCs w:val="24"/>
          <w:lang w:eastAsia="it-IT"/>
        </w:rPr>
        <w:t>(Rubin, 1974)</w:t>
      </w:r>
      <w:r>
        <w:rPr>
          <w:szCs w:val="24"/>
        </w:rPr>
        <w:t xml:space="preserve">. However, different methods can be used to estimate aggregate causal effects indirectly. Among such methods, randomized experiments are consensually considered the gold standard </w:t>
      </w:r>
      <w:r w:rsidRPr="00FB206C">
        <w:rPr>
          <w:szCs w:val="24"/>
          <w:lang w:eastAsia="it-IT"/>
        </w:rPr>
        <w:t>(Antonakis, Bendahan, Jacquart, &amp; Lalive, 2010)</w:t>
      </w:r>
      <w:r>
        <w:rPr>
          <w:szCs w:val="24"/>
        </w:rPr>
        <w:t xml:space="preserve">. Both experimental and nonexperimental methods for estimating causality require conceptual clarity about what are the causal states and what are the outcomes at issue. This seems to be particularly problematic for personality </w:t>
      </w:r>
      <w:r w:rsidRPr="00FB206C">
        <w:rPr>
          <w:szCs w:val="24"/>
          <w:lang w:eastAsia="it-IT"/>
        </w:rPr>
        <w:t>(Freese, 2016)</w:t>
      </w:r>
      <w:r>
        <w:rPr>
          <w:szCs w:val="24"/>
        </w:rPr>
        <w:t xml:space="preserve">. </w:t>
      </w:r>
    </w:p>
    <w:p w14:paraId="12B19574" w14:textId="77777777" w:rsidR="00061155" w:rsidRDefault="00061155">
      <w:pPr>
        <w:pStyle w:val="ApaNormale"/>
      </w:pPr>
      <w:r>
        <w:rPr>
          <w:szCs w:val="24"/>
        </w:rPr>
        <w:t xml:space="preserve">We argue that the possibility of making causal inferences involving personality crucially depends on the theoretical model of personality. Personality is a multifaceted concept </w:t>
      </w:r>
      <w:r w:rsidRPr="00FB206C">
        <w:rPr>
          <w:lang w:val="it-IT" w:eastAsia="it-IT"/>
        </w:rPr>
        <w:t>(e.g., Allport, 1937)</w:t>
      </w:r>
      <w:r>
        <w:t xml:space="preserve"> </w:t>
      </w:r>
      <w:r>
        <w:rPr>
          <w:szCs w:val="24"/>
        </w:rPr>
        <w:t xml:space="preserve">and no model of personality is universally accepted </w:t>
      </w:r>
      <w:r w:rsidRPr="00FB206C">
        <w:rPr>
          <w:szCs w:val="24"/>
          <w:lang w:val="it-IT" w:eastAsia="it-IT"/>
        </w:rPr>
        <w:t>(Saucier &amp; Srivastava, 2015)</w:t>
      </w:r>
      <w:r>
        <w:t>. E</w:t>
      </w:r>
      <w:r>
        <w:rPr>
          <w:szCs w:val="24"/>
        </w:rPr>
        <w:t xml:space="preserve">ach model, however, constrains the (even hypothetical) manipulability of alternative causal states. For instance, many researchers in personality consider traits as reflecting “prior and stable characteristics of the individual”, which are not “subject to manipulation” </w:t>
      </w:r>
      <w:r w:rsidRPr="00FB206C">
        <w:rPr>
          <w:szCs w:val="24"/>
          <w:lang w:val="it-IT" w:eastAsia="it-IT"/>
        </w:rPr>
        <w:t>(Revelle, 2007, p. 45)</w:t>
      </w:r>
      <w:r>
        <w:rPr>
          <w:szCs w:val="24"/>
        </w:rPr>
        <w:t xml:space="preserve">. In this view, a close </w:t>
      </w:r>
      <w:r>
        <w:rPr>
          <w:i/>
          <w:szCs w:val="24"/>
        </w:rPr>
        <w:t>correspondence</w:t>
      </w:r>
      <w:r>
        <w:rPr>
          <w:szCs w:val="24"/>
        </w:rPr>
        <w:t xml:space="preserve"> is assumed between personality structure and the causal processes underlying behavior: Each personality factor corresponds to an underlying biological causal source that similarly affects trait-relevant behaviors, but not other uncorrelated behaviors </w:t>
      </w:r>
      <w:r w:rsidRPr="00FB206C">
        <w:rPr>
          <w:szCs w:val="24"/>
          <w:lang w:val="it-IT" w:eastAsia="it-IT"/>
        </w:rPr>
        <w:t xml:space="preserve">(McCrae &amp; </w:t>
      </w:r>
      <w:r w:rsidRPr="00FB206C">
        <w:rPr>
          <w:szCs w:val="24"/>
          <w:lang w:val="it-IT" w:eastAsia="it-IT"/>
        </w:rPr>
        <w:lastRenderedPageBreak/>
        <w:t>Sutin, 2018)</w:t>
      </w:r>
      <w:r>
        <w:rPr>
          <w:szCs w:val="24"/>
        </w:rPr>
        <w:t xml:space="preserve">. Within this framework, it is very difficult to specify a hypothetical situation in which an unconscientious individual would become conscientious, let alone planning an experimental manipulation. For this reason, experimental research in personality has been more often devoted to determining how personality traits moderate other kinds of psychological processes, and not to identify the causal determinants of personality traits themselves </w:t>
      </w:r>
      <w:r w:rsidRPr="00FB206C">
        <w:rPr>
          <w:szCs w:val="24"/>
          <w:lang w:val="it-IT" w:eastAsia="it-IT"/>
        </w:rPr>
        <w:t>(e.g., Revelle, 2007; M. D. Robinson, 2007)</w:t>
      </w:r>
      <w:r>
        <w:rPr>
          <w:szCs w:val="24"/>
        </w:rPr>
        <w:t>. Experimental research has never been considered very central in personality research: Whereas there are a “Journal of Experimental Social Psychology” and a “Journal of Experimental Child Psychology”, a “Journal of Experimental Personality Psychology” has never existed and probably for some scholars would sound like an oxymoron.</w:t>
      </w:r>
    </w:p>
    <w:p w14:paraId="41BF3B1D" w14:textId="3AF2BB57" w:rsidR="00061155" w:rsidRDefault="00061155" w:rsidP="00D65BC1">
      <w:pPr>
        <w:pStyle w:val="ApaNormale"/>
      </w:pPr>
      <w:r>
        <w:rPr>
          <w:szCs w:val="24"/>
        </w:rPr>
        <w:t xml:space="preserve">In this manuscript, we first discuss in more details how some prominent theoretical models of personality encouraged or discouraged specific kinds of causally explanatory research. We then discuss causality from the perspective of a </w:t>
      </w:r>
      <w:r w:rsidRPr="00B92596">
        <w:rPr>
          <w:szCs w:val="24"/>
        </w:rPr>
        <w:t xml:space="preserve">network model of personality </w:t>
      </w:r>
      <w:r w:rsidRPr="00D40F56">
        <w:t>(Costantini &amp; Perugini, 2016b; Cramer et al., 2012; Mõttus &amp; Allerhand, in press) which</w:t>
      </w:r>
      <w:r w:rsidR="00897538" w:rsidRPr="00750CCF">
        <w:rPr>
          <w:szCs w:val="24"/>
          <w:lang w:eastAsia="it-IT"/>
        </w:rPr>
        <w:t xml:space="preserve">, </w:t>
      </w:r>
      <w:r w:rsidR="00897538" w:rsidRPr="00B92596">
        <w:rPr>
          <w:szCs w:val="24"/>
          <w:lang w:eastAsia="it-IT"/>
        </w:rPr>
        <w:t>instead of correspondence,</w:t>
      </w:r>
      <w:r w:rsidRPr="00ED1439">
        <w:rPr>
          <w:szCs w:val="24"/>
          <w:lang w:eastAsia="it-IT"/>
        </w:rPr>
        <w:t xml:space="preserve"> assumes </w:t>
      </w:r>
      <w:r w:rsidR="00663C39" w:rsidRPr="00750CCF">
        <w:rPr>
          <w:i/>
          <w:szCs w:val="24"/>
          <w:lang w:eastAsia="it-IT"/>
        </w:rPr>
        <w:t>weak</w:t>
      </w:r>
      <w:r w:rsidR="00663C39" w:rsidRPr="00750CCF">
        <w:rPr>
          <w:szCs w:val="24"/>
          <w:lang w:eastAsia="it-IT"/>
        </w:rPr>
        <w:t xml:space="preserve"> </w:t>
      </w:r>
      <w:r w:rsidRPr="00750CCF">
        <w:rPr>
          <w:i/>
          <w:szCs w:val="24"/>
          <w:lang w:eastAsia="it-IT"/>
        </w:rPr>
        <w:t>emergence</w:t>
      </w:r>
      <w:r w:rsidR="00F1050A" w:rsidRPr="00750CCF">
        <w:rPr>
          <w:i/>
          <w:szCs w:val="24"/>
          <w:lang w:eastAsia="it-IT"/>
        </w:rPr>
        <w:t xml:space="preserve"> </w:t>
      </w:r>
      <w:r w:rsidR="00F1050A" w:rsidRPr="00750CCF">
        <w:rPr>
          <w:szCs w:val="24"/>
          <w:lang w:eastAsia="it-IT"/>
        </w:rPr>
        <w:t>(Baumert et al., 2017)</w:t>
      </w:r>
      <w:r w:rsidR="00663C39" w:rsidRPr="00750CCF">
        <w:rPr>
          <w:szCs w:val="24"/>
          <w:lang w:eastAsia="it-IT"/>
        </w:rPr>
        <w:t xml:space="preserve">. </w:t>
      </w:r>
      <w:r w:rsidR="00644664" w:rsidRPr="00ED1439">
        <w:rPr>
          <w:szCs w:val="24"/>
          <w:lang w:eastAsia="it-IT"/>
        </w:rPr>
        <w:t>According to this view,</w:t>
      </w:r>
      <w:r w:rsidR="00644664" w:rsidRPr="00B92596">
        <w:rPr>
          <w:szCs w:val="24"/>
          <w:lang w:eastAsia="it-IT"/>
        </w:rPr>
        <w:t xml:space="preserve"> </w:t>
      </w:r>
      <w:r w:rsidR="00D65BC1" w:rsidRPr="00B92596">
        <w:rPr>
          <w:szCs w:val="24"/>
          <w:lang w:eastAsia="it-IT"/>
        </w:rPr>
        <w:t xml:space="preserve">personality </w:t>
      </w:r>
      <w:r w:rsidR="00D65BC1" w:rsidRPr="007F22A8">
        <w:rPr>
          <w:szCs w:val="24"/>
          <w:lang w:eastAsia="it-IT"/>
        </w:rPr>
        <w:t xml:space="preserve">arises from a </w:t>
      </w:r>
      <w:r w:rsidR="00D65BC1" w:rsidRPr="004E51DE">
        <w:rPr>
          <w:szCs w:val="24"/>
          <w:lang w:eastAsia="it-IT"/>
        </w:rPr>
        <w:t xml:space="preserve">complex </w:t>
      </w:r>
      <w:r w:rsidR="00D65BC1" w:rsidRPr="00464BBE">
        <w:rPr>
          <w:szCs w:val="24"/>
          <w:lang w:eastAsia="it-IT"/>
        </w:rPr>
        <w:t>we</w:t>
      </w:r>
      <w:r w:rsidR="00D65BC1" w:rsidRPr="000F3187">
        <w:rPr>
          <w:szCs w:val="24"/>
          <w:lang w:eastAsia="it-IT"/>
        </w:rPr>
        <w:t>b of cau</w:t>
      </w:r>
      <w:r w:rsidR="00D65BC1" w:rsidRPr="00412468">
        <w:rPr>
          <w:szCs w:val="24"/>
          <w:lang w:eastAsia="it-IT"/>
        </w:rPr>
        <w:t>sa</w:t>
      </w:r>
      <w:r w:rsidR="00D65BC1" w:rsidRPr="00EC21D7">
        <w:rPr>
          <w:szCs w:val="24"/>
          <w:lang w:eastAsia="it-IT"/>
        </w:rPr>
        <w:t>l interactions among lower-level elements of the personality system,</w:t>
      </w:r>
      <w:r w:rsidR="009A348A">
        <w:rPr>
          <w:szCs w:val="24"/>
          <w:lang w:eastAsia="it-IT"/>
        </w:rPr>
        <w:t xml:space="preserve"> such as</w:t>
      </w:r>
      <w:r w:rsidR="00D65BC1" w:rsidRPr="00EC21D7">
        <w:rPr>
          <w:szCs w:val="24"/>
          <w:lang w:eastAsia="it-IT"/>
        </w:rPr>
        <w:t xml:space="preserve"> behaviors</w:t>
      </w:r>
      <w:r w:rsidR="00827599">
        <w:rPr>
          <w:szCs w:val="24"/>
          <w:lang w:eastAsia="it-IT"/>
        </w:rPr>
        <w:t xml:space="preserve"> and environments</w:t>
      </w:r>
      <w:r w:rsidR="009A348A">
        <w:rPr>
          <w:szCs w:val="24"/>
          <w:lang w:eastAsia="it-IT"/>
        </w:rPr>
        <w:t>,</w:t>
      </w:r>
      <w:r w:rsidR="00827599">
        <w:rPr>
          <w:szCs w:val="24"/>
          <w:lang w:eastAsia="it-IT"/>
        </w:rPr>
        <w:t xml:space="preserve"> </w:t>
      </w:r>
      <w:r w:rsidR="00D65BC1" w:rsidRPr="00EC21D7">
        <w:rPr>
          <w:szCs w:val="24"/>
          <w:lang w:eastAsia="it-IT"/>
        </w:rPr>
        <w:t>over time: Although</w:t>
      </w:r>
      <w:r w:rsidR="007F22A8">
        <w:rPr>
          <w:szCs w:val="24"/>
          <w:lang w:eastAsia="it-IT"/>
        </w:rPr>
        <w:t>, in principle,</w:t>
      </w:r>
      <w:r w:rsidR="00CF7569" w:rsidRPr="007F22A8">
        <w:rPr>
          <w:szCs w:val="24"/>
          <w:lang w:eastAsia="it-IT"/>
        </w:rPr>
        <w:t xml:space="preserve"> it would be possible to</w:t>
      </w:r>
      <w:r w:rsidR="00D65BC1" w:rsidRPr="007F22A8">
        <w:rPr>
          <w:szCs w:val="24"/>
          <w:lang w:eastAsia="it-IT"/>
        </w:rPr>
        <w:t xml:space="preserve"> </w:t>
      </w:r>
      <w:r w:rsidR="00CF7569" w:rsidRPr="007F22A8">
        <w:rPr>
          <w:szCs w:val="24"/>
          <w:lang w:eastAsia="it-IT"/>
        </w:rPr>
        <w:t xml:space="preserve">trace </w:t>
      </w:r>
      <w:r w:rsidR="007F22A8">
        <w:rPr>
          <w:szCs w:val="24"/>
          <w:lang w:eastAsia="it-IT"/>
        </w:rPr>
        <w:t>the</w:t>
      </w:r>
      <w:r w:rsidR="00D65BC1" w:rsidRPr="007F22A8">
        <w:rPr>
          <w:szCs w:val="24"/>
          <w:lang w:eastAsia="it-IT"/>
        </w:rPr>
        <w:t xml:space="preserve"> causal </w:t>
      </w:r>
      <w:r w:rsidR="007F22A8">
        <w:rPr>
          <w:szCs w:val="24"/>
          <w:lang w:eastAsia="it-IT"/>
        </w:rPr>
        <w:t xml:space="preserve">events </w:t>
      </w:r>
      <w:r w:rsidR="00D65BC1" w:rsidRPr="007F22A8">
        <w:rPr>
          <w:szCs w:val="24"/>
          <w:lang w:eastAsia="it-IT"/>
        </w:rPr>
        <w:t xml:space="preserve">that translate </w:t>
      </w:r>
      <w:r w:rsidR="007F22A8">
        <w:rPr>
          <w:szCs w:val="24"/>
          <w:lang w:eastAsia="it-IT"/>
        </w:rPr>
        <w:t xml:space="preserve">lower-level phenomena </w:t>
      </w:r>
      <w:r w:rsidR="00D65BC1" w:rsidRPr="007F22A8">
        <w:rPr>
          <w:szCs w:val="24"/>
          <w:lang w:eastAsia="it-IT"/>
        </w:rPr>
        <w:t xml:space="preserve">into macroscopic properties (e.g., recurrent patterns of thoughts, feelings, and behaviors that constitute a personality trait), </w:t>
      </w:r>
      <w:r w:rsidR="00644664" w:rsidRPr="007F22A8">
        <w:rPr>
          <w:szCs w:val="24"/>
          <w:lang w:eastAsia="it-IT"/>
        </w:rPr>
        <w:t>this kind of explanation would be</w:t>
      </w:r>
      <w:r w:rsidR="00D65BC1" w:rsidRPr="007F22A8">
        <w:rPr>
          <w:szCs w:val="24"/>
          <w:lang w:eastAsia="it-IT"/>
        </w:rPr>
        <w:t xml:space="preserve"> irreducibl</w:t>
      </w:r>
      <w:r w:rsidR="00644664" w:rsidRPr="007F22A8">
        <w:rPr>
          <w:szCs w:val="24"/>
          <w:lang w:eastAsia="it-IT"/>
        </w:rPr>
        <w:t>y</w:t>
      </w:r>
      <w:r w:rsidR="00D65BC1" w:rsidRPr="007F22A8">
        <w:rPr>
          <w:szCs w:val="24"/>
          <w:lang w:eastAsia="it-IT"/>
        </w:rPr>
        <w:t xml:space="preserve"> complex (Bedau, 2008)</w:t>
      </w:r>
      <w:r w:rsidR="00D65BC1" w:rsidRPr="00ED1439">
        <w:rPr>
          <w:szCs w:val="24"/>
          <w:lang w:eastAsia="it-IT"/>
        </w:rPr>
        <w:t>.</w:t>
      </w:r>
      <w:r w:rsidR="00CF7569" w:rsidRPr="00ED1439">
        <w:rPr>
          <w:szCs w:val="24"/>
          <w:lang w:eastAsia="it-IT"/>
        </w:rPr>
        <w:t xml:space="preserve"> </w:t>
      </w:r>
      <w:r w:rsidR="00554A53">
        <w:rPr>
          <w:szCs w:val="24"/>
          <w:lang w:eastAsia="it-IT"/>
        </w:rPr>
        <w:t>C</w:t>
      </w:r>
      <w:r w:rsidR="007F22A8">
        <w:rPr>
          <w:szCs w:val="24"/>
          <w:lang w:eastAsia="it-IT"/>
        </w:rPr>
        <w:t xml:space="preserve">ausal </w:t>
      </w:r>
      <w:r w:rsidR="00480B64" w:rsidRPr="00ED1439">
        <w:rPr>
          <w:szCs w:val="24"/>
          <w:lang w:eastAsia="it-IT"/>
        </w:rPr>
        <w:t xml:space="preserve">accounts are inherently </w:t>
      </w:r>
      <w:r w:rsidR="007A506D" w:rsidRPr="00ED1439">
        <w:rPr>
          <w:szCs w:val="24"/>
          <w:lang w:eastAsia="it-IT"/>
        </w:rPr>
        <w:t>complex</w:t>
      </w:r>
      <w:r w:rsidR="007F22A8">
        <w:rPr>
          <w:szCs w:val="24"/>
          <w:lang w:eastAsia="it-IT"/>
        </w:rPr>
        <w:t xml:space="preserve"> in this perspective</w:t>
      </w:r>
      <w:r w:rsidR="00554A53">
        <w:rPr>
          <w:szCs w:val="24"/>
          <w:lang w:eastAsia="it-IT"/>
        </w:rPr>
        <w:t xml:space="preserve"> and</w:t>
      </w:r>
      <w:r w:rsidR="007F22A8">
        <w:rPr>
          <w:szCs w:val="24"/>
          <w:lang w:eastAsia="it-IT"/>
        </w:rPr>
        <w:t xml:space="preserve"> n</w:t>
      </w:r>
      <w:r w:rsidR="00CF7569" w:rsidRPr="00ED1439">
        <w:rPr>
          <w:szCs w:val="24"/>
          <w:lang w:eastAsia="it-IT"/>
        </w:rPr>
        <w:t>etwork model</w:t>
      </w:r>
      <w:r w:rsidR="003E14AC" w:rsidRPr="00ED1439">
        <w:rPr>
          <w:szCs w:val="24"/>
          <w:lang w:eastAsia="it-IT"/>
        </w:rPr>
        <w:t>s provide</w:t>
      </w:r>
      <w:r w:rsidR="00DD741D" w:rsidRPr="00ED1439">
        <w:rPr>
          <w:szCs w:val="24"/>
          <w:lang w:eastAsia="it-IT"/>
        </w:rPr>
        <w:t xml:space="preserve"> an interesting </w:t>
      </w:r>
      <w:r w:rsidR="007A506D" w:rsidRPr="00ED1439">
        <w:rPr>
          <w:szCs w:val="24"/>
          <w:lang w:eastAsia="it-IT"/>
        </w:rPr>
        <w:t xml:space="preserve">exploratory </w:t>
      </w:r>
      <w:r w:rsidR="00DD741D" w:rsidRPr="00ED1439">
        <w:rPr>
          <w:szCs w:val="24"/>
          <w:lang w:eastAsia="it-IT"/>
        </w:rPr>
        <w:t xml:space="preserve">tool for discovering potential regularities in </w:t>
      </w:r>
      <w:r w:rsidR="007F22A8">
        <w:rPr>
          <w:szCs w:val="24"/>
          <w:lang w:eastAsia="it-IT"/>
        </w:rPr>
        <w:t xml:space="preserve">the </w:t>
      </w:r>
      <w:r w:rsidR="007A506D" w:rsidRPr="00ED1439">
        <w:rPr>
          <w:szCs w:val="24"/>
          <w:lang w:eastAsia="it-IT"/>
        </w:rPr>
        <w:t>complex</w:t>
      </w:r>
      <w:r w:rsidR="00DD741D" w:rsidRPr="00ED1439">
        <w:rPr>
          <w:szCs w:val="24"/>
          <w:lang w:eastAsia="it-IT"/>
        </w:rPr>
        <w:t xml:space="preserve"> causal web that </w:t>
      </w:r>
      <w:r w:rsidR="007A506D" w:rsidRPr="00ED1439">
        <w:rPr>
          <w:szCs w:val="24"/>
          <w:lang w:eastAsia="it-IT"/>
        </w:rPr>
        <w:t xml:space="preserve">can be then </w:t>
      </w:r>
      <w:r w:rsidR="007F22A8">
        <w:rPr>
          <w:szCs w:val="24"/>
          <w:lang w:eastAsia="it-IT"/>
        </w:rPr>
        <w:t xml:space="preserve">used </w:t>
      </w:r>
      <w:r w:rsidR="00595CB5">
        <w:rPr>
          <w:szCs w:val="24"/>
          <w:lang w:eastAsia="it-IT"/>
        </w:rPr>
        <w:t xml:space="preserve">as the basis for </w:t>
      </w:r>
      <w:r w:rsidR="007F22A8">
        <w:rPr>
          <w:szCs w:val="24"/>
          <w:lang w:eastAsia="it-IT"/>
        </w:rPr>
        <w:t xml:space="preserve">experimental </w:t>
      </w:r>
      <w:r w:rsidR="00595CB5">
        <w:rPr>
          <w:szCs w:val="24"/>
          <w:lang w:eastAsia="it-IT"/>
        </w:rPr>
        <w:t xml:space="preserve">studies </w:t>
      </w:r>
      <w:r w:rsidR="003726D4">
        <w:rPr>
          <w:szCs w:val="24"/>
          <w:lang w:eastAsia="it-IT"/>
        </w:rPr>
        <w:t xml:space="preserve">of </w:t>
      </w:r>
      <w:r w:rsidR="007F22A8">
        <w:rPr>
          <w:szCs w:val="24"/>
          <w:lang w:eastAsia="it-IT"/>
        </w:rPr>
        <w:t>personality</w:t>
      </w:r>
      <w:r w:rsidR="003726D4">
        <w:rPr>
          <w:szCs w:val="24"/>
          <w:lang w:eastAsia="it-IT"/>
        </w:rPr>
        <w:t xml:space="preserve"> traits</w:t>
      </w:r>
      <w:r w:rsidR="007A3371" w:rsidRPr="00ED1439">
        <w:rPr>
          <w:szCs w:val="24"/>
          <w:lang w:eastAsia="it-IT"/>
        </w:rPr>
        <w:t>.</w:t>
      </w:r>
      <w:r w:rsidR="00D65BC1" w:rsidRPr="00D40F56">
        <w:t xml:space="preserve"> </w:t>
      </w:r>
      <w:r w:rsidRPr="00B92596">
        <w:rPr>
          <w:szCs w:val="24"/>
        </w:rPr>
        <w:t xml:space="preserve">Building on this model, we outline a general three-step framework for testing causality in personality research. We show how we have </w:t>
      </w:r>
      <w:r w:rsidRPr="007F22A8">
        <w:rPr>
          <w:szCs w:val="24"/>
        </w:rPr>
        <w:t>already implemented part of these steps for a specific trait, conscientiousness, and</w:t>
      </w:r>
      <w:r>
        <w:rPr>
          <w:szCs w:val="24"/>
        </w:rPr>
        <w:t xml:space="preserve"> present in details how the other steps could be implemented. With the due adaptations, the same framework can be applied to any personality trait.</w:t>
      </w:r>
    </w:p>
    <w:p w14:paraId="604B954F" w14:textId="77777777" w:rsidR="00061155" w:rsidRDefault="00061155">
      <w:pPr>
        <w:pStyle w:val="Titolo1"/>
      </w:pPr>
      <w:r>
        <w:lastRenderedPageBreak/>
        <w:t>Models of personality and implications for causal research</w:t>
      </w:r>
    </w:p>
    <w:p w14:paraId="4EABE65E" w14:textId="77777777" w:rsidR="00061155" w:rsidRDefault="00061155">
      <w:pPr>
        <w:pStyle w:val="ApaNormale"/>
      </w:pPr>
      <w:r>
        <w:t>The most popular and most important result in personality psychology is that, when data reduction techniques such as factor analysis or principal component analysis are applied to correlation matrices of personality-descriptive adjectives or behaviors</w:t>
      </w:r>
      <w:r>
        <w:rPr>
          <w:rStyle w:val="FootnoteCharacters"/>
        </w:rPr>
        <w:footnoteReference w:id="2"/>
      </w:r>
      <w:r>
        <w:t xml:space="preserve">, a consistent portion of variance is explained by a very limited number of factors or components. Although the debate about the number and the exact position of such factors is far from settled, at least some characteristics of the personality structure replicate across instruments and across cultures </w:t>
      </w:r>
      <w:r w:rsidRPr="00FB206C">
        <w:rPr>
          <w:lang w:val="it-IT" w:eastAsia="it-IT"/>
        </w:rPr>
        <w:t xml:space="preserve">(e.g., </w:t>
      </w:r>
      <w:r w:rsidRPr="00FB206C">
        <w:rPr>
          <w:szCs w:val="24"/>
          <w:lang w:val="it-IT" w:eastAsia="it-IT"/>
        </w:rPr>
        <w:t>Saucier &amp; Srivastava, 2015</w:t>
      </w:r>
      <w:r w:rsidRPr="00FB206C">
        <w:rPr>
          <w:lang w:val="it-IT" w:eastAsia="it-IT"/>
        </w:rPr>
        <w:t>)</w:t>
      </w:r>
      <w:r>
        <w:t xml:space="preserve">. For instance, a factor labeled conscientiousness emerges quite consistently and explains variance in adjectives such as “orderly”, “prudent”, “hard-working” </w:t>
      </w:r>
      <w:r w:rsidRPr="00FB206C">
        <w:rPr>
          <w:lang w:val="it-IT" w:eastAsia="it-IT"/>
        </w:rPr>
        <w:t>(Ashton et al., 2004; Saucier &amp; Srivastava, 2015)</w:t>
      </w:r>
      <w:r>
        <w:t xml:space="preserve">, and in behavioral items such as “I always try to be accurate in my work, even at the expense of time” </w:t>
      </w:r>
      <w:r w:rsidRPr="00FB206C">
        <w:rPr>
          <w:lang w:val="it-IT" w:eastAsia="it-IT"/>
        </w:rPr>
        <w:t>(Ashton &amp; Lee, 2009)</w:t>
      </w:r>
      <w:r>
        <w:t xml:space="preserve"> and “Get chores done right away” </w:t>
      </w:r>
      <w:r w:rsidRPr="00FB206C">
        <w:rPr>
          <w:lang w:val="it-IT" w:eastAsia="it-IT"/>
        </w:rPr>
        <w:t>(Goldberg, 1999; Goldberg et al., 2006; Jackson et al., 2010)</w:t>
      </w:r>
      <w:r>
        <w:t xml:space="preserve">. These results indicate that individuals engage in behavioral patterns that are, to some extent, consistent. This is by itself a very important result with crucial implications for understanding and predicting human behavior. For example, conscientiousness predicts several important life outcomes such as health, longevity, academic success, and job success </w:t>
      </w:r>
      <w:r w:rsidRPr="00FB206C">
        <w:rPr>
          <w:lang w:val="it-IT" w:eastAsia="it-IT"/>
        </w:rPr>
        <w:t>(e.g., Barrick &amp; Mount, 1991; Bogg &amp; Roberts, 2004; Friedman &amp; Kern, 2014; Poropat, 2009)</w:t>
      </w:r>
      <w:r>
        <w:t>. However, moving from correlations to causal explanations requires a theory that specifies the nature of personality traits and the hypothetical conditions that could causally affect them.</w:t>
      </w:r>
    </w:p>
    <w:p w14:paraId="33B188DA" w14:textId="2DD29D29" w:rsidR="00061155" w:rsidRDefault="00061155">
      <w:pPr>
        <w:pStyle w:val="ApaNormale"/>
      </w:pPr>
      <w:r>
        <w:rPr>
          <w:szCs w:val="24"/>
        </w:rPr>
        <w:t>Several researchers in personality</w:t>
      </w:r>
      <w:r>
        <w:t xml:space="preserve"> </w:t>
      </w:r>
      <w:r>
        <w:rPr>
          <w:szCs w:val="24"/>
        </w:rPr>
        <w:t xml:space="preserve">adopted a view based on </w:t>
      </w:r>
      <w:r>
        <w:rPr>
          <w:i/>
          <w:szCs w:val="24"/>
        </w:rPr>
        <w:t>correspondence</w:t>
      </w:r>
      <w:r>
        <w:rPr>
          <w:szCs w:val="24"/>
        </w:rPr>
        <w:t xml:space="preserve"> and </w:t>
      </w:r>
      <w:r>
        <w:rPr>
          <w:i/>
          <w:szCs w:val="24"/>
        </w:rPr>
        <w:t>realism</w:t>
      </w:r>
      <w:r w:rsidR="00296665">
        <w:rPr>
          <w:szCs w:val="24"/>
        </w:rPr>
        <w:t xml:space="preserve"> for the</w:t>
      </w:r>
      <w:r>
        <w:rPr>
          <w:szCs w:val="24"/>
        </w:rPr>
        <w:t xml:space="preserve"> interpretation of latent variables </w:t>
      </w:r>
      <w:r w:rsidRPr="00FB206C">
        <w:rPr>
          <w:szCs w:val="24"/>
          <w:lang w:val="it-IT" w:eastAsia="it-IT"/>
        </w:rPr>
        <w:t>(Borsboom, Mellenbergh, &amp; van Heerden, 2003</w:t>
      </w:r>
      <w:r w:rsidR="00BA1D0A" w:rsidRPr="00ED1439">
        <w:rPr>
          <w:szCs w:val="24"/>
          <w:lang w:eastAsia="it-IT"/>
        </w:rPr>
        <w:t xml:space="preserve">; </w:t>
      </w:r>
      <w:r w:rsidR="00BA1D0A" w:rsidRPr="00FB206C">
        <w:rPr>
          <w:szCs w:val="24"/>
          <w:lang w:val="it-IT" w:eastAsia="it-IT"/>
        </w:rPr>
        <w:t>McCrae &amp; Sutin, 2018</w:t>
      </w:r>
      <w:r w:rsidRPr="00FB206C">
        <w:rPr>
          <w:szCs w:val="24"/>
          <w:lang w:val="it-IT" w:eastAsia="it-IT"/>
        </w:rPr>
        <w:t>)</w:t>
      </w:r>
      <w:r>
        <w:rPr>
          <w:szCs w:val="24"/>
        </w:rPr>
        <w:t xml:space="preserve"> and considered regularities in the personality structure as evidence of the existence of a certain number of unobservable personality dispositions. Personality traits have been thus defined </w:t>
      </w:r>
      <w:r>
        <w:rPr>
          <w:szCs w:val="24"/>
        </w:rPr>
        <w:lastRenderedPageBreak/>
        <w:t xml:space="preserve">as “biologically based properties of the individual that affect the rest of the personality system, but are not themselves affected by it” </w:t>
      </w:r>
      <w:r w:rsidRPr="00FB206C">
        <w:rPr>
          <w:szCs w:val="24"/>
          <w:lang w:val="it-IT" w:eastAsia="it-IT"/>
        </w:rPr>
        <w:t>(McCrae &amp; Costa, 2008, p. 278)</w:t>
      </w:r>
      <w:r>
        <w:rPr>
          <w:szCs w:val="24"/>
        </w:rPr>
        <w:t xml:space="preserve">. Each personality factor corresponds to an underlying biological causal source that similarly affects trait-relevant behaviors, but not other uncorrelated behaviors </w:t>
      </w:r>
      <w:r w:rsidRPr="00FB206C">
        <w:rPr>
          <w:szCs w:val="24"/>
          <w:lang w:val="it-IT" w:eastAsia="it-IT"/>
        </w:rPr>
        <w:t>(McCrae &amp; Sutin, 2018)</w:t>
      </w:r>
      <w:r>
        <w:rPr>
          <w:szCs w:val="24"/>
        </w:rPr>
        <w:t xml:space="preserve">. If one assumes </w:t>
      </w:r>
      <w:r w:rsidR="00CE68BF">
        <w:rPr>
          <w:szCs w:val="24"/>
        </w:rPr>
        <w:t xml:space="preserve">correspondence and </w:t>
      </w:r>
      <w:r>
        <w:rPr>
          <w:szCs w:val="24"/>
        </w:rPr>
        <w:t>latent</w:t>
      </w:r>
      <w:r w:rsidR="00CE68BF">
        <w:rPr>
          <w:szCs w:val="24"/>
        </w:rPr>
        <w:t>-</w:t>
      </w:r>
      <w:r>
        <w:rPr>
          <w:szCs w:val="24"/>
        </w:rPr>
        <w:t xml:space="preserve">variable realism, observable behaviors (e.g., John does not work hard) are considered mere indicators of underlying traits (e.g., John’s low level of conscientiousness), without any autonomous causal relevance </w:t>
      </w:r>
      <w:r w:rsidRPr="00FB206C">
        <w:rPr>
          <w:szCs w:val="24"/>
          <w:lang w:val="it-IT" w:eastAsia="it-IT"/>
        </w:rPr>
        <w:t>(i.e., even if one could make John work harder, this would not affect his conscientiousness in any way; Borsboom et al., 2003; McCrae &amp; Sutin, 2018; Mõttus, 2016; Saucier &amp; Srivastava, 2015)</w:t>
      </w:r>
      <w:r>
        <w:rPr>
          <w:szCs w:val="24"/>
        </w:rPr>
        <w:t xml:space="preserve">. Conversely, the most important causal explanations are those connecting observed behavioral clusters to their biological substrates </w:t>
      </w:r>
      <w:r w:rsidRPr="00FB206C">
        <w:rPr>
          <w:szCs w:val="24"/>
          <w:lang w:val="it-IT" w:eastAsia="it-IT"/>
        </w:rPr>
        <w:t>(e.g., DeYoung, 2017b)</w:t>
      </w:r>
      <w:r>
        <w:rPr>
          <w:szCs w:val="24"/>
        </w:rPr>
        <w:t xml:space="preserve">. Hypothetical causal conditions affecting traits would, therefore, be of genetic or biological nature. </w:t>
      </w:r>
      <w:bookmarkStart w:id="1" w:name="_Hlk507239077"/>
      <w:r>
        <w:rPr>
          <w:szCs w:val="24"/>
        </w:rPr>
        <w:t xml:space="preserve">For example, some personality traits have been shown to change as a consequence of pharmacological intervention with antidepressants (e.g., Tang et al., 2009; see also McCrae &amp; Sutin, 2018 for a discussion of the implications of this kind of evidence in the correspondence vs. emergence debate). </w:t>
      </w:r>
      <w:bookmarkEnd w:id="1"/>
    </w:p>
    <w:p w14:paraId="3CDBF1D5" w14:textId="03E3F382" w:rsidR="00061155" w:rsidRDefault="00061155">
      <w:pPr>
        <w:pStyle w:val="ApaNormale"/>
      </w:pPr>
      <w:r>
        <w:rPr>
          <w:szCs w:val="24"/>
        </w:rPr>
        <w:t>This view is also incompatible with the idea that personality could change because of experimental manipulations or even of life experiences</w:t>
      </w:r>
      <w:r>
        <w:rPr>
          <w:rStyle w:val="FootnoteCharacters"/>
        </w:rPr>
        <w:footnoteReference w:id="3"/>
      </w:r>
      <w:r>
        <w:rPr>
          <w:szCs w:val="24"/>
        </w:rPr>
        <w:t xml:space="preserve">, unless they are able to affect directly the latent causal </w:t>
      </w:r>
      <w:r w:rsidR="00296665">
        <w:rPr>
          <w:szCs w:val="24"/>
        </w:rPr>
        <w:t>“</w:t>
      </w:r>
      <w:r>
        <w:rPr>
          <w:szCs w:val="24"/>
        </w:rPr>
        <w:t>generators</w:t>
      </w:r>
      <w:r w:rsidR="00296665">
        <w:rPr>
          <w:szCs w:val="24"/>
        </w:rPr>
        <w:t>”</w:t>
      </w:r>
      <w:r>
        <w:rPr>
          <w:szCs w:val="24"/>
        </w:rPr>
        <w:t xml:space="preserve">, </w:t>
      </w:r>
      <w:bookmarkStart w:id="2" w:name="_Hlk494098880"/>
      <w:r>
        <w:rPr>
          <w:szCs w:val="24"/>
        </w:rPr>
        <w:t>an idea that has been challenged by a large body of research. This research shows that personality traits can and do change</w:t>
      </w:r>
      <w:r w:rsidRPr="00FB206C">
        <w:rPr>
          <w:szCs w:val="24"/>
          <w:lang w:val="it-IT" w:eastAsia="it-IT"/>
        </w:rPr>
        <w:t xml:space="preserve"> (Roberts, Walton, &amp; Viechtbauer, 2006; Specht, Egloff, &amp; Schmukle, 2011)</w:t>
      </w:r>
      <w:r>
        <w:rPr>
          <w:szCs w:val="24"/>
        </w:rPr>
        <w:t xml:space="preserve">, even in a brief time span and because of experimental manipulations </w:t>
      </w:r>
      <w:r w:rsidRPr="00FB206C">
        <w:rPr>
          <w:szCs w:val="24"/>
          <w:lang w:val="it-IT" w:eastAsia="it-IT"/>
        </w:rPr>
        <w:t>(Roberts, Luo, et al., 2017)</w:t>
      </w:r>
      <w:r>
        <w:rPr>
          <w:szCs w:val="24"/>
        </w:rPr>
        <w:t>, and that the resulting changes can be enduring (</w:t>
      </w:r>
      <w:r w:rsidRPr="00FB206C">
        <w:rPr>
          <w:szCs w:val="24"/>
          <w:lang w:val="it-IT" w:eastAsia="it-IT"/>
        </w:rPr>
        <w:t>i.e., they cannot be easily dismissed as transient changes in states</w:t>
      </w:r>
      <w:r>
        <w:rPr>
          <w:szCs w:val="24"/>
        </w:rPr>
        <w:t>)</w:t>
      </w:r>
      <w:bookmarkEnd w:id="2"/>
      <w:r>
        <w:rPr>
          <w:szCs w:val="24"/>
        </w:rPr>
        <w:t xml:space="preserve">. To accommodate for effects of the environment on personality, realist theories introduced the concept of </w:t>
      </w:r>
      <w:r>
        <w:rPr>
          <w:i/>
          <w:szCs w:val="24"/>
        </w:rPr>
        <w:t>characteristic adaptations</w:t>
      </w:r>
      <w:r>
        <w:rPr>
          <w:szCs w:val="24"/>
        </w:rPr>
        <w:t xml:space="preserve"> (McCrae &amp; Costa, 2008; McCrae &amp; Sutin, 2018), a construct that includes all culturally conditioned </w:t>
      </w:r>
      <w:r>
        <w:rPr>
          <w:szCs w:val="24"/>
        </w:rPr>
        <w:lastRenderedPageBreak/>
        <w:t>phenomena (e.g., values, habits, beliefs, relationship models etc.) and that is considered distinct from basic personality traits, which have purely biological origins</w:t>
      </w:r>
      <w:r>
        <w:rPr>
          <w:rStyle w:val="FootnoteCharacters"/>
          <w:szCs w:val="24"/>
        </w:rPr>
        <w:footnoteReference w:id="4"/>
      </w:r>
      <w:r>
        <w:rPr>
          <w:szCs w:val="24"/>
        </w:rPr>
        <w:t>.</w:t>
      </w:r>
    </w:p>
    <w:p w14:paraId="5CD93BAA" w14:textId="77777777" w:rsidR="00061155" w:rsidRDefault="00061155">
      <w:pPr>
        <w:pStyle w:val="ApaNormale"/>
      </w:pPr>
      <w:r>
        <w:rPr>
          <w:szCs w:val="24"/>
        </w:rPr>
        <w:t xml:space="preserve">More recent realist theories do not exclude environmental influences on traits. For instance, the Cybernetic Big 5 Theory posits that personality traits reflect individual differences in the parameters of a cybernetic system aimed at responding to relevant stimuli that characterized the evolutionary environment (e.g., distractions) to achieve relevant goals for the individual </w:t>
      </w:r>
      <w:r w:rsidRPr="00FB206C">
        <w:rPr>
          <w:szCs w:val="24"/>
          <w:lang w:val="it-IT" w:eastAsia="it-IT"/>
        </w:rPr>
        <w:t>(DeYoung, 2015, 2017a)</w:t>
      </w:r>
      <w:r>
        <w:rPr>
          <w:szCs w:val="24"/>
        </w:rPr>
        <w:t xml:space="preserve">. In this view, conscientiousness reflects individual differences in the cybernetic function of “Protection of non-immediate or abstract goals and strategies from disruption” </w:t>
      </w:r>
      <w:r w:rsidRPr="00FB206C">
        <w:rPr>
          <w:szCs w:val="24"/>
          <w:lang w:val="it-IT" w:eastAsia="it-IT"/>
        </w:rPr>
        <w:t>(DeYoung, 2015, p. 42)</w:t>
      </w:r>
      <w:r>
        <w:rPr>
          <w:szCs w:val="24"/>
        </w:rPr>
        <w:t xml:space="preserve">. Cybernetic parameters, in turn, are caused by the complex interaction of multiple neurobiological parameters, which in turn reflect the interacting effect of genes and environment over time. Therefore, this approach does not assume a simple correspondence between latent causes and traits (DeYoung, 2017a). Since in this view both genetic and environmental forces are thought to causally affect cybernetic parameters and thus traits, the Cybernetic Big 5 Theory is in principle compatible not only with causal states involving different genetic and biological conditions but also with causal states involving different environments. Nonetheless, manipulations of environments have not been particularly central to this framework, which focused more on the exploration of the neural bases of traits </w:t>
      </w:r>
      <w:r w:rsidRPr="00FB206C">
        <w:rPr>
          <w:szCs w:val="24"/>
          <w:lang w:val="it-IT" w:eastAsia="it-IT"/>
        </w:rPr>
        <w:t>(Allen &amp; DeYoung, 2016; Hou et al., 2017)</w:t>
      </w:r>
      <w:r>
        <w:rPr>
          <w:szCs w:val="24"/>
        </w:rPr>
        <w:t>.</w:t>
      </w:r>
    </w:p>
    <w:p w14:paraId="14D2C6F2" w14:textId="77777777" w:rsidR="00061155" w:rsidRDefault="00061155">
      <w:pPr>
        <w:pStyle w:val="Titolo1"/>
      </w:pPr>
      <w:r>
        <w:t xml:space="preserve">Causality from a network perspective </w:t>
      </w:r>
    </w:p>
    <w:p w14:paraId="7526F1C0" w14:textId="5B016BE3" w:rsidR="00061155" w:rsidRDefault="004E51DE">
      <w:pPr>
        <w:pStyle w:val="ApaNormale"/>
      </w:pPr>
      <w:r>
        <w:rPr>
          <w:szCs w:val="24"/>
        </w:rPr>
        <w:t>A network is an abstract model of a complex phenomenon that comprises a set of node</w:t>
      </w:r>
      <w:r w:rsidR="00464BBE">
        <w:rPr>
          <w:szCs w:val="24"/>
        </w:rPr>
        <w:t>s</w:t>
      </w:r>
      <w:r>
        <w:rPr>
          <w:szCs w:val="24"/>
        </w:rPr>
        <w:t xml:space="preserve"> and a set of edges. Nodes represent variables (e.g., personality characteristics</w:t>
      </w:r>
      <w:r w:rsidR="00464BBE">
        <w:rPr>
          <w:szCs w:val="24"/>
        </w:rPr>
        <w:t xml:space="preserve"> such as</w:t>
      </w:r>
      <w:r>
        <w:rPr>
          <w:szCs w:val="24"/>
        </w:rPr>
        <w:t xml:space="preserve"> traits or facets,</w:t>
      </w:r>
      <w:r w:rsidR="00464BBE">
        <w:rPr>
          <w:szCs w:val="24"/>
        </w:rPr>
        <w:t xml:space="preserve"> behaviors, motivations,</w:t>
      </w:r>
      <w:r>
        <w:rPr>
          <w:szCs w:val="24"/>
        </w:rPr>
        <w:t xml:space="preserve"> characteristics of a situation</w:t>
      </w:r>
      <w:r w:rsidR="00464BBE">
        <w:rPr>
          <w:szCs w:val="24"/>
        </w:rPr>
        <w:t>, etc.</w:t>
      </w:r>
      <w:r>
        <w:rPr>
          <w:szCs w:val="24"/>
        </w:rPr>
        <w:t xml:space="preserve">), whereas edges can represent different types of relationships among them (e.g., </w:t>
      </w:r>
      <w:r w:rsidR="000F3187">
        <w:rPr>
          <w:szCs w:val="24"/>
        </w:rPr>
        <w:t xml:space="preserve">different types of </w:t>
      </w:r>
      <w:r>
        <w:rPr>
          <w:szCs w:val="24"/>
        </w:rPr>
        <w:t>probabilistic connections</w:t>
      </w:r>
      <w:r w:rsidR="000F3187">
        <w:rPr>
          <w:szCs w:val="24"/>
        </w:rPr>
        <w:t>; Costantini et al., 2017; Epskamp</w:t>
      </w:r>
      <w:r w:rsidR="000F3187" w:rsidRPr="00FB206C">
        <w:rPr>
          <w:szCs w:val="24"/>
          <w:lang w:val="it-IT" w:eastAsia="it-IT"/>
        </w:rPr>
        <w:t>, Waldorp,</w:t>
      </w:r>
      <w:r w:rsidR="000F3187" w:rsidRPr="00ED1439">
        <w:rPr>
          <w:szCs w:val="24"/>
          <w:lang w:eastAsia="it-IT"/>
        </w:rPr>
        <w:t xml:space="preserve"> </w:t>
      </w:r>
      <w:r w:rsidR="000F3187" w:rsidRPr="00FB206C">
        <w:rPr>
          <w:szCs w:val="24"/>
          <w:lang w:val="it-IT" w:eastAsia="it-IT"/>
        </w:rPr>
        <w:t>Mõttus, &amp; Borsboom, 2017</w:t>
      </w:r>
      <w:r>
        <w:rPr>
          <w:szCs w:val="24"/>
        </w:rPr>
        <w:t xml:space="preserve">). </w:t>
      </w:r>
      <w:r w:rsidR="00061155">
        <w:rPr>
          <w:szCs w:val="24"/>
        </w:rPr>
        <w:t xml:space="preserve">Networks have been proposed as a </w:t>
      </w:r>
      <w:r w:rsidR="00061155">
        <w:rPr>
          <w:szCs w:val="24"/>
        </w:rPr>
        <w:lastRenderedPageBreak/>
        <w:t xml:space="preserve">model for understanding several psychological phenomena without relying on correspondence and realism in the interpretation of latent variables </w:t>
      </w:r>
      <w:r w:rsidR="00061155" w:rsidRPr="00FB206C">
        <w:rPr>
          <w:szCs w:val="24"/>
          <w:lang w:val="it-IT" w:eastAsia="it-IT"/>
        </w:rPr>
        <w:t>(Schmittmann et al., 2013)</w:t>
      </w:r>
      <w:r w:rsidR="00061155">
        <w:rPr>
          <w:szCs w:val="24"/>
        </w:rPr>
        <w:t xml:space="preserve">. According to network models, the consistency of factor structures recovered in several broad psychological constructs—such as intelligence, psychopathology, attitudes, and personality traits </w:t>
      </w:r>
      <w:r w:rsidR="00061155" w:rsidRPr="00FB206C">
        <w:rPr>
          <w:szCs w:val="24"/>
          <w:lang w:val="it-IT" w:eastAsia="it-IT"/>
        </w:rPr>
        <w:t>(Borsboom, 2017; Dalege et al., 2016; Mõttus &amp; Allerhand, in press; van der Maas et al., 2006)</w:t>
      </w:r>
      <w:r w:rsidR="00061155">
        <w:rPr>
          <w:szCs w:val="24"/>
        </w:rPr>
        <w:t xml:space="preserve">—does not necessarily reflect the existence of unobservable latent causal </w:t>
      </w:r>
      <w:r w:rsidR="00296665">
        <w:rPr>
          <w:szCs w:val="24"/>
        </w:rPr>
        <w:t>“</w:t>
      </w:r>
      <w:r w:rsidR="00061155">
        <w:rPr>
          <w:szCs w:val="24"/>
        </w:rPr>
        <w:t>generators</w:t>
      </w:r>
      <w:r w:rsidR="00296665">
        <w:rPr>
          <w:szCs w:val="24"/>
        </w:rPr>
        <w:t>”</w:t>
      </w:r>
      <w:r w:rsidR="00061155">
        <w:rPr>
          <w:szCs w:val="24"/>
        </w:rPr>
        <w:t>, but could be the effect of</w:t>
      </w:r>
      <w:r w:rsidR="007B2DED">
        <w:rPr>
          <w:szCs w:val="24"/>
        </w:rPr>
        <w:t xml:space="preserve"> complex</w:t>
      </w:r>
      <w:r w:rsidR="00061155">
        <w:rPr>
          <w:szCs w:val="24"/>
        </w:rPr>
        <w:t xml:space="preserve"> causal, homeostatic, and logical relationships among lower-level behavioral variables and environments</w:t>
      </w:r>
      <w:r w:rsidR="007B2DED">
        <w:rPr>
          <w:szCs w:val="24"/>
        </w:rPr>
        <w:t xml:space="preserve"> over time</w:t>
      </w:r>
      <w:r w:rsidR="00061155">
        <w:rPr>
          <w:szCs w:val="24"/>
        </w:rPr>
        <w:t xml:space="preserve">. Therefore, the network approach resonates well with other approaches that do not assume realism and correspondence </w:t>
      </w:r>
      <w:r w:rsidR="00061155" w:rsidRPr="00FB206C">
        <w:rPr>
          <w:szCs w:val="24"/>
          <w:lang w:val="it-IT" w:eastAsia="it-IT"/>
        </w:rPr>
        <w:t>(e.g., McCabe &amp; Fleeson, 2016; Wood, Gardner, &amp; Harms, 2015)</w:t>
      </w:r>
      <w:r w:rsidR="00061155">
        <w:rPr>
          <w:szCs w:val="24"/>
        </w:rPr>
        <w:t xml:space="preserve">. Networks can have several elements in common among individuals, thus giving rise to stable patterns of between-subject differences recovered using factor analysis. However, albeit networks can reach relatively stable equilibria, they can also vary in response to external perturbations, thus resulting in within-individual differences both in terms of activation/deactivation of behavioral nodes and in terms of connections among nodes </w:t>
      </w:r>
      <w:r w:rsidR="00061155" w:rsidRPr="00FB206C">
        <w:rPr>
          <w:szCs w:val="24"/>
          <w:lang w:val="it-IT" w:eastAsia="it-IT"/>
        </w:rPr>
        <w:t>(Costantini et al., 2017; Cramer et al., 2012; Mõttus &amp; Allerhand, in press)</w:t>
      </w:r>
      <w:r w:rsidR="00061155">
        <w:rPr>
          <w:szCs w:val="24"/>
        </w:rPr>
        <w:t xml:space="preserve">. </w:t>
      </w:r>
    </w:p>
    <w:p w14:paraId="721549A9" w14:textId="04781D8F" w:rsidR="00061155" w:rsidRDefault="00061155">
      <w:pPr>
        <w:pStyle w:val="ApaNormale"/>
        <w:jc w:val="both"/>
      </w:pPr>
      <w:r>
        <w:rPr>
          <w:szCs w:val="24"/>
        </w:rPr>
        <w:t xml:space="preserve">According to the network view, the relationship between personality processes and structure, instead of in terms of correspondence, can be seen in terms of </w:t>
      </w:r>
      <w:r>
        <w:rPr>
          <w:i/>
          <w:szCs w:val="24"/>
        </w:rPr>
        <w:t>weak emergence</w:t>
      </w:r>
      <w:r>
        <w:rPr>
          <w:szCs w:val="24"/>
        </w:rPr>
        <w:t xml:space="preserve"> </w:t>
      </w:r>
      <w:r w:rsidRPr="00FB206C">
        <w:rPr>
          <w:szCs w:val="24"/>
          <w:lang w:val="it-IT" w:eastAsia="it-IT"/>
        </w:rPr>
        <w:t>(Baumert et al., 2017; Costantini &amp; Perugini, 2016a)</w:t>
      </w:r>
      <w:r>
        <w:rPr>
          <w:szCs w:val="24"/>
        </w:rPr>
        <w:t xml:space="preserve">. Weak emergence occurs when the properties of a superordinate level of the system (in this case personality traits) are causally determined by the processes happening at a subordinate level (in this case, a </w:t>
      </w:r>
      <w:r w:rsidR="00045154">
        <w:rPr>
          <w:szCs w:val="24"/>
        </w:rPr>
        <w:t xml:space="preserve">web </w:t>
      </w:r>
      <w:r>
        <w:rPr>
          <w:szCs w:val="24"/>
        </w:rPr>
        <w:t xml:space="preserve">of interrelated behaviors and environments) over time, but a complete mechanistic explanation of superordinate properties in terms of microscopic events would be complex and irreducible to a simple form </w:t>
      </w:r>
      <w:r w:rsidRPr="00FB206C">
        <w:rPr>
          <w:szCs w:val="24"/>
          <w:lang w:val="it-IT" w:eastAsia="it-IT"/>
        </w:rPr>
        <w:t>(Chalmers, 2006)</w:t>
      </w:r>
      <w:r>
        <w:rPr>
          <w:szCs w:val="24"/>
        </w:rPr>
        <w:t xml:space="preserve">. To clarify what a weakly emergent phenomenon is, let’s consider the example of a traffic jam. Although one could in principle trace the sequence of microscopic causal events that made a traffic jam happen (e.g., in terms of individual drivers’ behaviors, traffic lights, highway conditions etc.), this kind of mechanistic explanation would be too complex to be useful </w:t>
      </w:r>
      <w:r w:rsidRPr="00FB206C">
        <w:rPr>
          <w:szCs w:val="24"/>
          <w:lang w:val="it-IT" w:eastAsia="it-IT"/>
        </w:rPr>
        <w:t>(Bedau, 2008b)</w:t>
      </w:r>
      <w:r>
        <w:rPr>
          <w:szCs w:val="24"/>
        </w:rPr>
        <w:t xml:space="preserve">. Interesting properties of weakly emergent phenomena </w:t>
      </w:r>
      <w:r>
        <w:rPr>
          <w:szCs w:val="24"/>
        </w:rPr>
        <w:lastRenderedPageBreak/>
        <w:t xml:space="preserve">in relation to the microscopic events that generated them include </w:t>
      </w:r>
      <w:r>
        <w:rPr>
          <w:i/>
          <w:szCs w:val="24"/>
        </w:rPr>
        <w:t>causal dependence</w:t>
      </w:r>
      <w:r>
        <w:t>,</w:t>
      </w:r>
      <w:r>
        <w:rPr>
          <w:i/>
          <w:szCs w:val="24"/>
        </w:rPr>
        <w:t xml:space="preserve"> causal autonomy</w:t>
      </w:r>
      <w:r>
        <w:rPr>
          <w:szCs w:val="24"/>
        </w:rPr>
        <w:t xml:space="preserve">, and </w:t>
      </w:r>
      <w:r>
        <w:rPr>
          <w:i/>
          <w:szCs w:val="24"/>
        </w:rPr>
        <w:t>downward causation</w:t>
      </w:r>
      <w:r>
        <w:rPr>
          <w:szCs w:val="24"/>
        </w:rPr>
        <w:t xml:space="preserve"> </w:t>
      </w:r>
      <w:r w:rsidRPr="00FB206C">
        <w:rPr>
          <w:szCs w:val="24"/>
          <w:lang w:val="it-IT" w:eastAsia="it-IT"/>
        </w:rPr>
        <w:t>(Bedau, 2008a)</w:t>
      </w:r>
      <w:r>
        <w:rPr>
          <w:szCs w:val="24"/>
        </w:rPr>
        <w:t xml:space="preserve">. A traffic jam is causally dependent on the sequence of behaviors of each driver because one can imagine alternative causal states in which a traffic jam would not have happened in terms of, for instance, a different sequence of individual drivers’ behaviors. Crucially, the presence of regularities in the causal sequence can reveal useful ways of manipulating the superordinate levels by acting on the subordinate level of the system (e.g., increasing fines for certain violations, regulating traffic lights in a different way, performing highway maintenance, etc.). Causal autonomy means that an emergent phenomenon acquires properties that are somehow independent of the specific sequence of causal events that generated them. Once a traffic jam is there, its ability to make people late does not depend anymore on the specific sequence of behaviors of each driver: People would be late no matter which particular configuration of events caused the traffic jam. Downward causation means that an emergent </w:t>
      </w:r>
      <w:r w:rsidR="00296665">
        <w:rPr>
          <w:szCs w:val="24"/>
        </w:rPr>
        <w:t xml:space="preserve">phenomenon </w:t>
      </w:r>
      <w:r>
        <w:rPr>
          <w:szCs w:val="24"/>
        </w:rPr>
        <w:t>can in turn influence the subordinate level. For instance, a traffic jam can have a strong impact also on the behavior of individual drivers that generated it.</w:t>
      </w:r>
    </w:p>
    <w:p w14:paraId="35B7BC6D" w14:textId="597F7297" w:rsidR="00061155" w:rsidRDefault="00061155">
      <w:pPr>
        <w:pStyle w:val="ApaNormale"/>
        <w:jc w:val="both"/>
        <w:rPr>
          <w:szCs w:val="24"/>
        </w:rPr>
      </w:pPr>
      <w:r>
        <w:rPr>
          <w:szCs w:val="24"/>
        </w:rPr>
        <w:t xml:space="preserve">Seeing personality traits as weakly emergent means that there may not be any simple neural trigger of, say, conscientious behavior. Conscientiousness could be the byproduct of interactions among behaviors (in a broad sense, including neurophysiological events) and situations over time. Crucially, causal dependence entails that </w:t>
      </w:r>
      <w:r w:rsidR="00296665">
        <w:rPr>
          <w:szCs w:val="24"/>
        </w:rPr>
        <w:t xml:space="preserve">it </w:t>
      </w:r>
      <w:r>
        <w:rPr>
          <w:szCs w:val="24"/>
        </w:rPr>
        <w:t xml:space="preserve">should be possible to manipulate traits by perturbing the elements of their generating networks. Furthermore, downward causation implies that once a trait is constituted, it can, in turn, affect the elements of the network. </w:t>
      </w:r>
      <w:bookmarkStart w:id="3" w:name="_Hlk507064780"/>
      <w:bookmarkStart w:id="4" w:name="_Hlk506825731"/>
      <w:r>
        <w:t xml:space="preserve">Suppose that we establish that John’s level of conscientiousness is primarily due to a history of positive reinforcement of his working hard (e.g., Perugini, Costantini, Hughes, &amp; De Houwer, 2016). His subsequent working hard can be influenced by the level of conscientiousness regardless of whether the same level of reinforcement as before is present. </w:t>
      </w:r>
      <w:bookmarkStart w:id="5" w:name="_Hlk507239155"/>
      <w:r>
        <w:rPr>
          <w:szCs w:val="24"/>
        </w:rPr>
        <w:t>Over time, traits can gain also casual autonomy from the network that generated them:</w:t>
      </w:r>
      <w:r>
        <w:t xml:space="preserve"> Regardless of even radical differences in the complex sequence of events that brought two </w:t>
      </w:r>
      <w:r>
        <w:lastRenderedPageBreak/>
        <w:t xml:space="preserve">individuals to have the same level of conscientiousness, </w:t>
      </w:r>
      <w:r w:rsidR="00296665">
        <w:t>it</w:t>
      </w:r>
      <w:r>
        <w:t xml:space="preserve"> will be equally predictive</w:t>
      </w:r>
      <w:r w:rsidR="00296665" w:rsidRPr="00296665">
        <w:t xml:space="preserve"> </w:t>
      </w:r>
      <w:r w:rsidR="00296665">
        <w:t>of relevant future behaviors</w:t>
      </w:r>
      <w:r>
        <w:t xml:space="preserve"> for both of them</w:t>
      </w:r>
      <w:r>
        <w:rPr>
          <w:szCs w:val="24"/>
        </w:rPr>
        <w:t>.</w:t>
      </w:r>
      <w:bookmarkEnd w:id="3"/>
      <w:bookmarkEnd w:id="4"/>
      <w:bookmarkEnd w:id="5"/>
    </w:p>
    <w:p w14:paraId="64C467F4" w14:textId="77777777" w:rsidR="00061155" w:rsidRDefault="00061155">
      <w:pPr>
        <w:pStyle w:val="ApaNormale"/>
        <w:jc w:val="both"/>
      </w:pPr>
      <w:r>
        <w:rPr>
          <w:szCs w:val="24"/>
        </w:rPr>
        <w:t xml:space="preserve">A network perspective does not entail denying that latent variables can play a role too </w:t>
      </w:r>
      <w:r w:rsidRPr="00FB206C">
        <w:rPr>
          <w:szCs w:val="24"/>
          <w:lang w:val="it-IT" w:eastAsia="it-IT"/>
        </w:rPr>
        <w:t>(Mõttus, 2016)</w:t>
      </w:r>
      <w:r>
        <w:rPr>
          <w:szCs w:val="24"/>
        </w:rPr>
        <w:t>. First, one could be interested in improving the measure of a node</w:t>
      </w:r>
      <w:r w:rsidR="004E51DE">
        <w:rPr>
          <w:szCs w:val="24"/>
        </w:rPr>
        <w:t>/variable</w:t>
      </w:r>
      <w:r>
        <w:rPr>
          <w:szCs w:val="24"/>
        </w:rPr>
        <w:t xml:space="preserve"> by including multiple indicators </w:t>
      </w:r>
      <w:r w:rsidRPr="00FB206C">
        <w:rPr>
          <w:szCs w:val="24"/>
          <w:lang w:val="it-IT" w:eastAsia="it-IT"/>
        </w:rPr>
        <w:t>(e.g., Costantini &amp; Perugini, 2016b)</w:t>
      </w:r>
      <w:r>
        <w:rPr>
          <w:szCs w:val="24"/>
        </w:rPr>
        <w:t xml:space="preserve">. Second, one may have good reasons to think that the relationships among a set of nodes are due, at least in part, to the effects of a latent variable that has not or cannot be directly included in the model </w:t>
      </w:r>
      <w:r w:rsidRPr="00FB206C">
        <w:rPr>
          <w:szCs w:val="24"/>
          <w:lang w:val="it-IT" w:eastAsia="it-IT"/>
        </w:rPr>
        <w:t>(Epskamp, Kruis, &amp; Marsman, 2017)</w:t>
      </w:r>
      <w:r>
        <w:rPr>
          <w:szCs w:val="24"/>
        </w:rPr>
        <w:t xml:space="preserve">. Although latent variable modeling can be useful from a methodological point of view, the network approach differs from pure realist views because it does not assume by default a correspondence between statistical factors and unobservable latent casual entities </w:t>
      </w:r>
      <w:r w:rsidRPr="00FB206C">
        <w:rPr>
          <w:szCs w:val="24"/>
          <w:lang w:val="it-IT" w:eastAsia="it-IT"/>
        </w:rPr>
        <w:t>(Baumert et al., 2017)</w:t>
      </w:r>
      <w:r>
        <w:rPr>
          <w:szCs w:val="24"/>
        </w:rPr>
        <w:t xml:space="preserve">. The consistent emergence of personality factors could be, for a large part, the byproduct of the interactions taking place within networks over time </w:t>
      </w:r>
      <w:r w:rsidRPr="00FB206C">
        <w:rPr>
          <w:szCs w:val="24"/>
          <w:lang w:val="it-IT" w:eastAsia="it-IT"/>
        </w:rPr>
        <w:t>(Costantini, Epskamp, et al., 2015; Cramer et al., 2012; Mõttus &amp; Allerhand, in press)</w:t>
      </w:r>
      <w:r>
        <w:rPr>
          <w:szCs w:val="24"/>
        </w:rPr>
        <w:t>.</w:t>
      </w:r>
    </w:p>
    <w:p w14:paraId="5DD4EAFC" w14:textId="77777777" w:rsidR="00061155" w:rsidRDefault="00061155">
      <w:pPr>
        <w:pStyle w:val="Titolo1"/>
      </w:pPr>
      <w:r>
        <w:t>Networks as a methodological tool to explore personality</w:t>
      </w:r>
    </w:p>
    <w:p w14:paraId="4C479C3D" w14:textId="16D2E729" w:rsidR="00061155" w:rsidRDefault="00061155">
      <w:pPr>
        <w:pStyle w:val="ApaNormale"/>
        <w:jc w:val="both"/>
      </w:pPr>
      <w:r>
        <w:t xml:space="preserve">Modeling the complex interrelations among trait-relevant variables as a </w:t>
      </w:r>
      <w:r w:rsidRPr="008A5CFD">
        <w:t xml:space="preserve">network offers a representation of psychological phenomena that can be helpful </w:t>
      </w:r>
      <w:r w:rsidR="00C87D05" w:rsidRPr="008A5CFD">
        <w:t xml:space="preserve"> for</w:t>
      </w:r>
      <w:r w:rsidRPr="008A5CFD">
        <w:t xml:space="preserve"> generating hypotheses about regularities that connect personality traits to their generating </w:t>
      </w:r>
      <w:r w:rsidR="0042048F">
        <w:t>processes</w:t>
      </w:r>
      <w:r>
        <w:t xml:space="preserve">. </w:t>
      </w:r>
      <w:bookmarkStart w:id="6" w:name="_Hlk506826074"/>
      <w:bookmarkStart w:id="7" w:name="_Hlk506826427"/>
      <w:bookmarkStart w:id="8" w:name="_Hlk507239212"/>
      <w:r>
        <w:t xml:space="preserve">Methods have been developed and implemented to estimate probabilistic graphical models </w:t>
      </w:r>
      <w:r w:rsidRPr="00FB206C">
        <w:rPr>
          <w:lang w:val="it-IT" w:eastAsia="it-IT"/>
        </w:rPr>
        <w:t xml:space="preserve">(Lauritzen, 1996), in which </w:t>
      </w:r>
      <w:r w:rsidR="00EC21D7" w:rsidRPr="00ED1439">
        <w:rPr>
          <w:lang w:eastAsia="it-IT"/>
        </w:rPr>
        <w:t xml:space="preserve">each </w:t>
      </w:r>
      <w:r w:rsidRPr="00FB206C">
        <w:rPr>
          <w:lang w:val="it-IT" w:eastAsia="it-IT"/>
        </w:rPr>
        <w:t>edge typically reflect</w:t>
      </w:r>
      <w:r w:rsidR="00EC21D7" w:rsidRPr="00ED1439">
        <w:rPr>
          <w:lang w:eastAsia="it-IT"/>
        </w:rPr>
        <w:t>s</w:t>
      </w:r>
      <w:r w:rsidRPr="00FB206C">
        <w:rPr>
          <w:lang w:val="it-IT" w:eastAsia="it-IT"/>
        </w:rPr>
        <w:t xml:space="preserve"> the relationships between two variables controlling for the others (e.g., </w:t>
      </w:r>
      <w:r w:rsidRPr="00FB206C">
        <w:rPr>
          <w:i/>
          <w:lang w:val="it-IT" w:eastAsia="it-IT"/>
        </w:rPr>
        <w:t>partial correlation networks</w:t>
      </w:r>
      <w:r w:rsidRPr="00FB206C">
        <w:rPr>
          <w:lang w:val="it-IT" w:eastAsia="it-IT"/>
        </w:rPr>
        <w:t>,</w:t>
      </w:r>
      <w:r w:rsidRPr="00FB206C">
        <w:rPr>
          <w:i/>
          <w:lang w:val="it-IT" w:eastAsia="it-IT"/>
        </w:rPr>
        <w:t xml:space="preserve"> </w:t>
      </w:r>
      <w:r w:rsidRPr="00FB206C">
        <w:rPr>
          <w:szCs w:val="24"/>
          <w:lang w:val="it-IT" w:eastAsia="it-IT"/>
        </w:rPr>
        <w:t>Costantini, Epskamp, et al., 2015</w:t>
      </w:r>
      <w:r w:rsidRPr="00FB206C">
        <w:rPr>
          <w:lang w:val="it-IT" w:eastAsia="it-IT"/>
        </w:rPr>
        <w:t xml:space="preserve">) </w:t>
      </w:r>
      <w:bookmarkEnd w:id="6"/>
      <w:r>
        <w:t>and can be used to model relationships among personality variable</w:t>
      </w:r>
      <w:r>
        <w:rPr>
          <w:szCs w:val="24"/>
        </w:rPr>
        <w:t xml:space="preserve">s at different levels </w:t>
      </w:r>
      <w:r w:rsidRPr="00FB206C">
        <w:rPr>
          <w:szCs w:val="24"/>
          <w:lang w:val="it-IT" w:eastAsia="it-IT"/>
        </w:rPr>
        <w:t xml:space="preserve">(Bringmann et al., 2013; Costantini et al., 2017; Epskamp &amp; Fried, 2017; Epskamp, Waldorp, </w:t>
      </w:r>
      <w:r w:rsidR="000F3187" w:rsidRPr="00ED1439">
        <w:rPr>
          <w:szCs w:val="24"/>
          <w:lang w:eastAsia="it-IT"/>
        </w:rPr>
        <w:t>et al.</w:t>
      </w:r>
      <w:r w:rsidR="000F3187" w:rsidRPr="00D40F56">
        <w:t xml:space="preserve"> </w:t>
      </w:r>
      <w:r w:rsidRPr="00FB206C">
        <w:rPr>
          <w:szCs w:val="24"/>
          <w:lang w:val="it-IT" w:eastAsia="it-IT"/>
        </w:rPr>
        <w:t>2017)</w:t>
      </w:r>
      <w:r>
        <w:rPr>
          <w:szCs w:val="24"/>
        </w:rPr>
        <w:t>.</w:t>
      </w:r>
      <w:bookmarkEnd w:id="7"/>
      <w:r>
        <w:rPr>
          <w:szCs w:val="24"/>
        </w:rPr>
        <w:t xml:space="preserve"> </w:t>
      </w:r>
      <w:bookmarkEnd w:id="8"/>
      <w:r>
        <w:rPr>
          <w:i/>
          <w:szCs w:val="24"/>
        </w:rPr>
        <w:t>Between-subject networks</w:t>
      </w:r>
      <w:r>
        <w:rPr>
          <w:szCs w:val="24"/>
        </w:rPr>
        <w:t xml:space="preserve"> can be estimated both on cross-sectional and on repeated-measure data. A connection between two nodes, such as “hardworking” and “motivated to get things done” in this kind of networks indicates that individuals who aim at getting more things done </w:t>
      </w:r>
      <w:r>
        <w:rPr>
          <w:i/>
          <w:szCs w:val="24"/>
        </w:rPr>
        <w:t>than others</w:t>
      </w:r>
      <w:r>
        <w:rPr>
          <w:szCs w:val="24"/>
        </w:rPr>
        <w:t xml:space="preserve"> are also more likely to work harder than others, even </w:t>
      </w:r>
      <w:r>
        <w:rPr>
          <w:szCs w:val="24"/>
        </w:rPr>
        <w:lastRenderedPageBreak/>
        <w:t xml:space="preserve">after controlling for all other elements of the network. The lack of a connection indicates that the same two nodes are independent given the others. </w:t>
      </w:r>
      <w:r>
        <w:rPr>
          <w:i/>
          <w:szCs w:val="24"/>
        </w:rPr>
        <w:t>Contemporaneous networks</w:t>
      </w:r>
      <w:r>
        <w:rPr>
          <w:szCs w:val="24"/>
        </w:rPr>
        <w:t xml:space="preserve"> can be estimated only on repeated-measure data: A connection between the same two nodes indicates that individuals who aim at getting more things done </w:t>
      </w:r>
      <w:r>
        <w:rPr>
          <w:i/>
          <w:szCs w:val="24"/>
        </w:rPr>
        <w:t>than their usual level</w:t>
      </w:r>
      <w:r>
        <w:rPr>
          <w:szCs w:val="24"/>
        </w:rPr>
        <w:t xml:space="preserve"> are also more likely to work harder than usual, even after controlling for all other elements of the network</w:t>
      </w:r>
      <w:r w:rsidR="000F1C73">
        <w:rPr>
          <w:szCs w:val="24"/>
        </w:rPr>
        <w:t xml:space="preserve"> at the time</w:t>
      </w:r>
      <w:r>
        <w:rPr>
          <w:szCs w:val="24"/>
        </w:rPr>
        <w:t xml:space="preserve"> </w:t>
      </w:r>
      <w:r w:rsidRPr="00FB206C">
        <w:rPr>
          <w:szCs w:val="24"/>
          <w:lang w:val="it-IT" w:eastAsia="it-IT"/>
        </w:rPr>
        <w:t>(Costantini et al., 2017</w:t>
      </w:r>
      <w:r w:rsidR="000F1C73" w:rsidRPr="00ED1439">
        <w:rPr>
          <w:szCs w:val="24"/>
          <w:lang w:eastAsia="it-IT"/>
        </w:rPr>
        <w:t xml:space="preserve">) and possibly </w:t>
      </w:r>
      <w:r w:rsidR="00420A95" w:rsidRPr="00ED1439">
        <w:rPr>
          <w:szCs w:val="24"/>
          <w:lang w:eastAsia="it-IT"/>
        </w:rPr>
        <w:t xml:space="preserve">also at </w:t>
      </w:r>
      <w:r w:rsidR="000F1C73" w:rsidRPr="00ED1439">
        <w:rPr>
          <w:szCs w:val="24"/>
          <w:lang w:eastAsia="it-IT"/>
        </w:rPr>
        <w:t>the prece</w:t>
      </w:r>
      <w:r w:rsidR="00512BC3">
        <w:rPr>
          <w:szCs w:val="24"/>
          <w:lang w:eastAsia="it-IT"/>
        </w:rPr>
        <w:t>e</w:t>
      </w:r>
      <w:r w:rsidR="000F1C73" w:rsidRPr="00ED1439">
        <w:rPr>
          <w:szCs w:val="24"/>
          <w:lang w:eastAsia="it-IT"/>
        </w:rPr>
        <w:t>ding measurement occasion</w:t>
      </w:r>
      <w:r w:rsidRPr="00FB206C">
        <w:rPr>
          <w:szCs w:val="24"/>
          <w:lang w:val="it-IT" w:eastAsia="it-IT"/>
        </w:rPr>
        <w:t xml:space="preserve"> </w:t>
      </w:r>
      <w:r w:rsidR="000F1C73" w:rsidRPr="00ED1439">
        <w:rPr>
          <w:szCs w:val="24"/>
          <w:lang w:eastAsia="it-IT"/>
        </w:rPr>
        <w:t>(</w:t>
      </w:r>
      <w:r w:rsidRPr="00FB206C">
        <w:rPr>
          <w:szCs w:val="24"/>
          <w:lang w:val="it-IT" w:eastAsia="it-IT"/>
        </w:rPr>
        <w:t>Epskamp, Waldorp, et al., 2017)</w:t>
      </w:r>
      <w:r>
        <w:rPr>
          <w:szCs w:val="24"/>
        </w:rPr>
        <w:t xml:space="preserve">. Repeated-measure data allow estimating also </w:t>
      </w:r>
      <w:r>
        <w:rPr>
          <w:i/>
          <w:szCs w:val="24"/>
        </w:rPr>
        <w:t>cross-lagged temporal networks</w:t>
      </w:r>
      <w:r>
        <w:rPr>
          <w:szCs w:val="24"/>
        </w:rPr>
        <w:t xml:space="preserve">: In these networks, arrowheads indicate that a node is </w:t>
      </w:r>
      <w:r w:rsidR="00AC2BDA">
        <w:rPr>
          <w:szCs w:val="24"/>
        </w:rPr>
        <w:t>predicted by</w:t>
      </w:r>
      <w:r>
        <w:rPr>
          <w:szCs w:val="24"/>
        </w:rPr>
        <w:t xml:space="preserve"> the levels of another node at a previous time-point. A connection going from node “motivated to get things done” to node “hardworking” indicates that individuals who are more motivated to get something done than their usual level are also more likely to work harder than usual </w:t>
      </w:r>
      <w:r>
        <w:rPr>
          <w:i/>
        </w:rPr>
        <w:t>at a subsequent time-point</w:t>
      </w:r>
      <w:r>
        <w:rPr>
          <w:szCs w:val="24"/>
        </w:rPr>
        <w:t xml:space="preserve">, whereas a connection in the opposite direction indicates that individuals who work hard are more likely to be motivated later on </w:t>
      </w:r>
      <w:r w:rsidRPr="00FB206C">
        <w:rPr>
          <w:szCs w:val="24"/>
          <w:lang w:val="it-IT" w:eastAsia="it-IT"/>
        </w:rPr>
        <w:t>(Bringmann et al., 2013; Epskamp, Waldorp, et al., 2017)</w:t>
      </w:r>
      <w:r>
        <w:rPr>
          <w:szCs w:val="24"/>
        </w:rPr>
        <w:t>.</w:t>
      </w:r>
    </w:p>
    <w:p w14:paraId="5D0C6932" w14:textId="0C332017" w:rsidR="00A118CD" w:rsidRDefault="00061155" w:rsidP="00ED1439">
      <w:pPr>
        <w:pStyle w:val="ApaNormale"/>
        <w:jc w:val="both"/>
        <w:rPr>
          <w:szCs w:val="24"/>
        </w:rPr>
      </w:pPr>
      <w:r>
        <w:rPr>
          <w:szCs w:val="24"/>
        </w:rPr>
        <w:t>Network methods have been also extended to compute and compare</w:t>
      </w:r>
      <w:r w:rsidR="00AC2BDA">
        <w:rPr>
          <w:szCs w:val="24"/>
        </w:rPr>
        <w:t xml:space="preserve"> associations between nodes in</w:t>
      </w:r>
      <w:r>
        <w:rPr>
          <w:szCs w:val="24"/>
        </w:rPr>
        <w:t xml:space="preserve"> different groups of individuals, such as males and females, individuals from different countries, or participants who received a manipulation or a therapy and controls </w:t>
      </w:r>
      <w:r w:rsidRPr="00FB206C">
        <w:rPr>
          <w:szCs w:val="24"/>
          <w:lang w:val="it-IT" w:eastAsia="it-IT"/>
        </w:rPr>
        <w:t>(Costantini et al., 2017; Costantini &amp; Perugini, 2017; Danaher, Wang, &amp; Witten, 2014; van Borkulo et al., 2017)</w:t>
      </w:r>
      <w:r>
        <w:rPr>
          <w:szCs w:val="24"/>
        </w:rPr>
        <w:t>. Furthermore,</w:t>
      </w:r>
      <w:r w:rsidRPr="00FB206C">
        <w:rPr>
          <w:szCs w:val="24"/>
          <w:lang w:val="it-IT" w:eastAsia="it-IT"/>
        </w:rPr>
        <w:t xml:space="preserve"> network methods and latent variables have been recently combined to introduce latent variables within networks and to inspect residual networks after controlling for the effect of latent variables</w:t>
      </w:r>
      <w:r>
        <w:rPr>
          <w:szCs w:val="24"/>
        </w:rPr>
        <w:t xml:space="preserve"> </w:t>
      </w:r>
      <w:r w:rsidRPr="00FB206C">
        <w:rPr>
          <w:szCs w:val="24"/>
          <w:lang w:val="it-IT" w:eastAsia="it-IT"/>
        </w:rPr>
        <w:t>(Epskamp, Rhemtulla, &amp; Borsboom, 2017)</w:t>
      </w:r>
      <w:r>
        <w:rPr>
          <w:szCs w:val="24"/>
        </w:rPr>
        <w:t xml:space="preserve">. Networks other than probabilistic graphical models can also be useful for personality research. For instance, Bagozzi and colleagues defined a network of goals from self-reports of goals to join the army </w:t>
      </w:r>
      <w:r w:rsidRPr="00FB206C">
        <w:rPr>
          <w:szCs w:val="24"/>
          <w:lang w:val="it-IT" w:eastAsia="it-IT"/>
        </w:rPr>
        <w:t>(Bagozzi, Bergami, &amp; Leone, 2003)</w:t>
      </w:r>
      <w:r>
        <w:rPr>
          <w:szCs w:val="24"/>
        </w:rPr>
        <w:t xml:space="preserve">. This different type of networks can give valuable information, as we will show below, particularly if one is interested in affecting the personality system through goals and motives. Once a network is computed, network analysis allows inspecting properties of the organization of the network such as the centrality of the nodes , the predictability of nodes from others, and global properties of the </w:t>
      </w:r>
      <w:r>
        <w:rPr>
          <w:szCs w:val="24"/>
        </w:rPr>
        <w:lastRenderedPageBreak/>
        <w:t xml:space="preserve">network, such as its topological features </w:t>
      </w:r>
      <w:r w:rsidRPr="00FB206C">
        <w:rPr>
          <w:szCs w:val="24"/>
          <w:lang w:val="it-IT" w:eastAsia="it-IT"/>
        </w:rPr>
        <w:t>(for introductions to these indices, see for instance Costantini, Epskamp, et al., 2015; Haslbeck &amp; Waldorp, 2017; for the possible shortcomings of using graph-theoretic concepts such as centrality in probabilistic graphical models, see Epskamp, 2017)</w:t>
      </w:r>
      <w:r>
        <w:rPr>
          <w:szCs w:val="24"/>
        </w:rPr>
        <w:t>.</w:t>
      </w:r>
      <w:bookmarkStart w:id="9" w:name="_Hlk506827425"/>
    </w:p>
    <w:p w14:paraId="402C8818" w14:textId="3D294918" w:rsidR="00061155" w:rsidRDefault="00061155" w:rsidP="00D40F56">
      <w:pPr>
        <w:pStyle w:val="ApaNormale"/>
        <w:jc w:val="both"/>
      </w:pPr>
      <w:r>
        <w:rPr>
          <w:szCs w:val="24"/>
        </w:rPr>
        <w:t xml:space="preserve">It is important to notice that, although connections in networks can suggest potential causal paths </w:t>
      </w:r>
      <w:r w:rsidRPr="00FB206C">
        <w:rPr>
          <w:szCs w:val="24"/>
          <w:lang w:val="it-IT" w:eastAsia="it-IT"/>
        </w:rPr>
        <w:t>(Epskamp, Waldorp, et al., 2017)</w:t>
      </w:r>
      <w:r>
        <w:rPr>
          <w:szCs w:val="24"/>
        </w:rPr>
        <w:t>, networks computed on observational data—be them cross-sectional or longitudinal—are not equivalent to a test of causality and do not allow by themselves supporting emergence or correspondence</w:t>
      </w:r>
      <w:r>
        <w:rPr>
          <w:rStyle w:val="FootnoteCharacters"/>
        </w:rPr>
        <w:footnoteReference w:id="5"/>
      </w:r>
      <w:r>
        <w:rPr>
          <w:szCs w:val="24"/>
        </w:rPr>
        <w:t>. Causal connections among nodes do lead to edges in the network, therefore networks can be used to reveal potential causal paths among trait-related behaviors</w:t>
      </w:r>
      <w:r w:rsidR="00EE284F">
        <w:rPr>
          <w:szCs w:val="24"/>
        </w:rPr>
        <w:t xml:space="preserve"> and environments</w:t>
      </w:r>
      <w:r>
        <w:rPr>
          <w:szCs w:val="24"/>
        </w:rPr>
        <w:t xml:space="preserve">. But it would be a mistake to consider this as demonstrating that the trait emerges from those connections: An edge can be there also because of a third unobserved/latent variable affecting both nodes </w:t>
      </w:r>
      <w:r w:rsidRPr="00FB206C">
        <w:rPr>
          <w:szCs w:val="24"/>
          <w:lang w:val="it-IT" w:eastAsia="it-IT"/>
        </w:rPr>
        <w:t>(Epskamp, Waldorp, et al., 2017)</w:t>
      </w:r>
      <w:r>
        <w:rPr>
          <w:szCs w:val="24"/>
        </w:rPr>
        <w:t xml:space="preserve">. Here we argue that, if the network includes nodes that can be observed and perturbed, the experimental methodology can be used to intervene on the network </w:t>
      </w:r>
      <w:r w:rsidR="0029503F">
        <w:rPr>
          <w:szCs w:val="24"/>
        </w:rPr>
        <w:t xml:space="preserve">processes </w:t>
      </w:r>
      <w:r>
        <w:rPr>
          <w:szCs w:val="24"/>
        </w:rPr>
        <w:t>through its nodes</w:t>
      </w:r>
      <w:r w:rsidR="00364EC9">
        <w:rPr>
          <w:szCs w:val="24"/>
        </w:rPr>
        <w:t>.</w:t>
      </w:r>
      <w:r w:rsidR="0034469D">
        <w:rPr>
          <w:szCs w:val="24"/>
        </w:rPr>
        <w:t xml:space="preserve"> If a node cannot be directly manipulated, it is necessary to identify its upstream determinants through further studies and manipulate them instead. </w:t>
      </w:r>
      <w:r w:rsidR="00B337BA">
        <w:rPr>
          <w:szCs w:val="24"/>
        </w:rPr>
        <w:t>T</w:t>
      </w:r>
      <w:r w:rsidR="00705306">
        <w:rPr>
          <w:szCs w:val="24"/>
        </w:rPr>
        <w:t xml:space="preserve">he best candidate nodes </w:t>
      </w:r>
      <w:r w:rsidR="0034469D">
        <w:rPr>
          <w:szCs w:val="24"/>
        </w:rPr>
        <w:t xml:space="preserve">for manipulation </w:t>
      </w:r>
      <w:r w:rsidR="00705306">
        <w:rPr>
          <w:szCs w:val="24"/>
        </w:rPr>
        <w:t xml:space="preserve">are those that are connected </w:t>
      </w:r>
      <w:r w:rsidR="000067C5">
        <w:rPr>
          <w:szCs w:val="24"/>
        </w:rPr>
        <w:t xml:space="preserve">to </w:t>
      </w:r>
      <w:r w:rsidR="0034469D">
        <w:rPr>
          <w:szCs w:val="24"/>
        </w:rPr>
        <w:t xml:space="preserve">elements </w:t>
      </w:r>
      <w:r w:rsidR="00705306">
        <w:rPr>
          <w:szCs w:val="24"/>
        </w:rPr>
        <w:t xml:space="preserve">that are considered </w:t>
      </w:r>
      <w:r w:rsidR="008F5DEB">
        <w:rPr>
          <w:szCs w:val="24"/>
        </w:rPr>
        <w:t xml:space="preserve">crucial for </w:t>
      </w:r>
      <w:r w:rsidR="00705306">
        <w:rPr>
          <w:szCs w:val="24"/>
        </w:rPr>
        <w:t>the trait of interest.</w:t>
      </w:r>
      <w:r w:rsidR="00705306" w:rsidDel="00364EC9">
        <w:rPr>
          <w:szCs w:val="24"/>
        </w:rPr>
        <w:t xml:space="preserve"> </w:t>
      </w:r>
      <w:r w:rsidR="008C5E0C">
        <w:rPr>
          <w:szCs w:val="24"/>
        </w:rPr>
        <w:t>Observing</w:t>
      </w:r>
      <w:r w:rsidR="00EE6065">
        <w:rPr>
          <w:szCs w:val="24"/>
        </w:rPr>
        <w:t xml:space="preserve"> </w:t>
      </w:r>
      <w:r w:rsidR="001855EA">
        <w:rPr>
          <w:szCs w:val="24"/>
        </w:rPr>
        <w:t xml:space="preserve">an </w:t>
      </w:r>
      <w:r>
        <w:rPr>
          <w:szCs w:val="24"/>
        </w:rPr>
        <w:t xml:space="preserve">effect </w:t>
      </w:r>
      <w:r w:rsidR="0023366B">
        <w:rPr>
          <w:szCs w:val="24"/>
        </w:rPr>
        <w:t xml:space="preserve">of </w:t>
      </w:r>
      <w:r w:rsidR="001855EA">
        <w:rPr>
          <w:szCs w:val="24"/>
        </w:rPr>
        <w:t xml:space="preserve">an experimental </w:t>
      </w:r>
      <w:r w:rsidR="0023366B">
        <w:rPr>
          <w:szCs w:val="24"/>
        </w:rPr>
        <w:t xml:space="preserve">manipulation </w:t>
      </w:r>
      <w:r w:rsidR="001855EA">
        <w:rPr>
          <w:szCs w:val="24"/>
        </w:rPr>
        <w:t xml:space="preserve">of these nodes on </w:t>
      </w:r>
      <w:r w:rsidR="00C6060F">
        <w:rPr>
          <w:szCs w:val="24"/>
        </w:rPr>
        <w:t xml:space="preserve">other </w:t>
      </w:r>
      <w:r w:rsidR="00364EC9">
        <w:rPr>
          <w:szCs w:val="24"/>
        </w:rPr>
        <w:t xml:space="preserve">network </w:t>
      </w:r>
      <w:r w:rsidR="00C6060F">
        <w:rPr>
          <w:szCs w:val="24"/>
        </w:rPr>
        <w:t xml:space="preserve">elements </w:t>
      </w:r>
      <w:r w:rsidR="008C5E0C">
        <w:rPr>
          <w:szCs w:val="24"/>
        </w:rPr>
        <w:t xml:space="preserve">would support the idea </w:t>
      </w:r>
      <w:r w:rsidR="00EE6065">
        <w:rPr>
          <w:szCs w:val="24"/>
        </w:rPr>
        <w:t>that the network connections emanating from th</w:t>
      </w:r>
      <w:r w:rsidR="008C5E0C">
        <w:rPr>
          <w:szCs w:val="24"/>
        </w:rPr>
        <w:t>e manipulated</w:t>
      </w:r>
      <w:r w:rsidR="00EE6065">
        <w:rPr>
          <w:szCs w:val="24"/>
        </w:rPr>
        <w:t xml:space="preserve"> node reflect </w:t>
      </w:r>
      <w:r w:rsidR="008C5E0C">
        <w:rPr>
          <w:szCs w:val="24"/>
        </w:rPr>
        <w:t xml:space="preserve">genuine </w:t>
      </w:r>
      <w:r w:rsidR="00EE6065">
        <w:rPr>
          <w:szCs w:val="24"/>
        </w:rPr>
        <w:t>causal connection</w:t>
      </w:r>
      <w:r w:rsidR="008C5E0C">
        <w:rPr>
          <w:szCs w:val="24"/>
        </w:rPr>
        <w:t xml:space="preserve">s directed from that node to other nodes. Similarly, observing an effect of the manipulation on </w:t>
      </w:r>
      <w:r w:rsidR="00B44591">
        <w:rPr>
          <w:szCs w:val="24"/>
        </w:rPr>
        <w:t xml:space="preserve">future </w:t>
      </w:r>
      <w:r w:rsidR="008C5E0C">
        <w:rPr>
          <w:szCs w:val="24"/>
        </w:rPr>
        <w:t xml:space="preserve">trait </w:t>
      </w:r>
      <w:r w:rsidR="00B44591">
        <w:rPr>
          <w:szCs w:val="24"/>
        </w:rPr>
        <w:t xml:space="preserve">levels </w:t>
      </w:r>
      <w:r w:rsidR="008C5E0C">
        <w:rPr>
          <w:szCs w:val="24"/>
        </w:rPr>
        <w:t xml:space="preserve">would support the idea </w:t>
      </w:r>
      <w:r w:rsidR="00EE6065">
        <w:rPr>
          <w:szCs w:val="24"/>
        </w:rPr>
        <w:t xml:space="preserve">that </w:t>
      </w:r>
      <w:r w:rsidR="00B44591">
        <w:rPr>
          <w:szCs w:val="24"/>
        </w:rPr>
        <w:t xml:space="preserve">the trait is causally dependent on </w:t>
      </w:r>
      <w:r w:rsidR="00512BC3">
        <w:rPr>
          <w:szCs w:val="24"/>
        </w:rPr>
        <w:t xml:space="preserve">elements of </w:t>
      </w:r>
      <w:r w:rsidR="00B44591">
        <w:rPr>
          <w:szCs w:val="24"/>
        </w:rPr>
        <w:t>the network and not (only) on latent variables that cannot be observed or manipulated</w:t>
      </w:r>
      <w:r>
        <w:rPr>
          <w:szCs w:val="24"/>
        </w:rPr>
        <w:t>.</w:t>
      </w:r>
      <w:r w:rsidR="008C5E0C">
        <w:rPr>
          <w:szCs w:val="24"/>
        </w:rPr>
        <w:t xml:space="preserve"> Not observing these effects would support the opposite ideas, that network connections emanating from that node </w:t>
      </w:r>
      <w:r w:rsidR="007E6989">
        <w:rPr>
          <w:szCs w:val="24"/>
        </w:rPr>
        <w:t>may</w:t>
      </w:r>
      <w:r w:rsidR="009C385F">
        <w:rPr>
          <w:szCs w:val="24"/>
        </w:rPr>
        <w:t xml:space="preserve"> not reflect </w:t>
      </w:r>
      <w:r w:rsidR="007E6989">
        <w:rPr>
          <w:szCs w:val="24"/>
        </w:rPr>
        <w:t xml:space="preserve">causal connections emanating from </w:t>
      </w:r>
      <w:r w:rsidR="009C385F">
        <w:rPr>
          <w:szCs w:val="24"/>
        </w:rPr>
        <w:t xml:space="preserve">that node and that trait levels </w:t>
      </w:r>
      <w:r w:rsidR="007E6989">
        <w:rPr>
          <w:szCs w:val="24"/>
        </w:rPr>
        <w:t xml:space="preserve">may </w:t>
      </w:r>
      <w:r w:rsidR="009C385F">
        <w:rPr>
          <w:szCs w:val="24"/>
        </w:rPr>
        <w:t xml:space="preserve">not </w:t>
      </w:r>
      <w:r w:rsidR="007E6989">
        <w:rPr>
          <w:szCs w:val="24"/>
        </w:rPr>
        <w:t xml:space="preserve">be </w:t>
      </w:r>
      <w:r w:rsidR="009C385F">
        <w:rPr>
          <w:szCs w:val="24"/>
        </w:rPr>
        <w:t xml:space="preserve">causally dependent on </w:t>
      </w:r>
      <w:r w:rsidR="00512BC3">
        <w:rPr>
          <w:szCs w:val="24"/>
        </w:rPr>
        <w:t xml:space="preserve">elements of </w:t>
      </w:r>
      <w:r w:rsidR="009C385F">
        <w:rPr>
          <w:szCs w:val="24"/>
        </w:rPr>
        <w:t>the network.</w:t>
      </w:r>
      <w:r w:rsidR="0034469D">
        <w:rPr>
          <w:szCs w:val="24"/>
        </w:rPr>
        <w:t xml:space="preserve"> </w:t>
      </w:r>
      <w:bookmarkStart w:id="10" w:name="_Hlk506827190"/>
      <w:r>
        <w:rPr>
          <w:szCs w:val="24"/>
        </w:rPr>
        <w:lastRenderedPageBreak/>
        <w:t>Interestingly, the idea that this type of experimental studies could be decisive to establish whether traits are due to correspondence or emergence is also shared by proponents of realist theories (McCrae &amp; Sutin, 2018).</w:t>
      </w:r>
      <w:bookmarkEnd w:id="10"/>
    </w:p>
    <w:bookmarkEnd w:id="9"/>
    <w:p w14:paraId="076DCDE6" w14:textId="77777777" w:rsidR="00061155" w:rsidRDefault="00061155">
      <w:pPr>
        <w:pStyle w:val="Titolo1"/>
      </w:pPr>
      <w:r>
        <w:t>A three-step strategy for testing causality in personality research</w:t>
      </w:r>
    </w:p>
    <w:p w14:paraId="1A80A77B" w14:textId="77777777" w:rsidR="00061155" w:rsidRDefault="00061155">
      <w:pPr>
        <w:pStyle w:val="ApaNormale"/>
        <w:jc w:val="both"/>
      </w:pPr>
      <w:r>
        <w:rPr>
          <w:szCs w:val="24"/>
        </w:rPr>
        <w:t>Here, we propose a general framework for testing causality in personality research that combines network analysis and experimental research. The framework includes three main steps, each one requires sub-steps and careful attention to specific details. The three steps are summarized in Table 1.</w:t>
      </w:r>
    </w:p>
    <w:p w14:paraId="54A5D2A1" w14:textId="72B1245D" w:rsidR="00061155" w:rsidRDefault="00061155">
      <w:pPr>
        <w:pStyle w:val="ApaNormale"/>
        <w:jc w:val="both"/>
      </w:pPr>
      <w:r>
        <w:rPr>
          <w:b/>
          <w:szCs w:val="24"/>
        </w:rPr>
        <w:t>Step 1.</w:t>
      </w:r>
      <w:r>
        <w:rPr>
          <w:i/>
          <w:szCs w:val="24"/>
        </w:rPr>
        <w:t xml:space="preserve"> </w:t>
      </w:r>
      <w:bookmarkStart w:id="11" w:name="_Hlk506973213"/>
      <w:bookmarkStart w:id="12" w:name="_Hlk506828786"/>
      <w:r>
        <w:rPr>
          <w:szCs w:val="24"/>
        </w:rPr>
        <w:t xml:space="preserve">In the initial step, nonexperimental evidence is collected about a potential target for manipulation. </w:t>
      </w:r>
      <w:bookmarkStart w:id="13" w:name="_Hlk506973184"/>
      <w:bookmarkStart w:id="14" w:name="_Hlk507070170"/>
      <w:bookmarkEnd w:id="11"/>
      <w:r>
        <w:rPr>
          <w:szCs w:val="24"/>
        </w:rPr>
        <w:t xml:space="preserve">By target, we mean a personality-relevant construct that is amenable to and constitutes a good candidate for experimental manipulation. </w:t>
      </w:r>
      <w:bookmarkEnd w:id="13"/>
      <w:r>
        <w:rPr>
          <w:szCs w:val="24"/>
        </w:rPr>
        <w:t xml:space="preserve">An ideal target is represented by a construct that is expected to have a causal effect on </w:t>
      </w:r>
      <w:r w:rsidR="000067C5">
        <w:rPr>
          <w:szCs w:val="24"/>
        </w:rPr>
        <w:t>elements of the network that are considered crucial for the trait of interest</w:t>
      </w:r>
      <w:r>
        <w:rPr>
          <w:szCs w:val="24"/>
        </w:rPr>
        <w:t xml:space="preserve">. </w:t>
      </w:r>
      <w:bookmarkEnd w:id="12"/>
      <w:bookmarkEnd w:id="14"/>
      <w:r>
        <w:rPr>
          <w:szCs w:val="24"/>
        </w:rPr>
        <w:t xml:space="preserve">One way to identify it is through network analysis. For instance, a network can be computed including as nodes the constructs that, from a theoretical point of view, are considered relevant for a certain personality trait of interest. Network analysis can be used to get important indications on which nodes constitute promising targets for experimental interventions (e.g., nodes that are particularly connected to traits of interest) and on which nodes are not worth manipulating </w:t>
      </w:r>
      <w:r w:rsidRPr="00FB206C">
        <w:rPr>
          <w:szCs w:val="24"/>
          <w:lang w:val="it-IT" w:eastAsia="it-IT"/>
        </w:rPr>
        <w:t>(because they are disconnected from the traits of interest; Epskamp &amp; Fried, 2017)</w:t>
      </w:r>
      <w:r>
        <w:rPr>
          <w:szCs w:val="24"/>
        </w:rPr>
        <w:t xml:space="preserve">. One can choose to inspect one type of network, or several types of networks to get a more fine-grained view on the potential causal paths. For instance, one could consider only between-subject networks to inspect potential </w:t>
      </w:r>
      <w:r w:rsidR="00547F94">
        <w:rPr>
          <w:szCs w:val="24"/>
        </w:rPr>
        <w:t xml:space="preserve">between-subject </w:t>
      </w:r>
      <w:r w:rsidR="00863FC1">
        <w:rPr>
          <w:szCs w:val="24"/>
        </w:rPr>
        <w:t>dynamics</w:t>
      </w:r>
      <w:r>
        <w:rPr>
          <w:szCs w:val="24"/>
        </w:rPr>
        <w:t xml:space="preserve">, or include also </w:t>
      </w:r>
      <w:r w:rsidR="00566259">
        <w:rPr>
          <w:szCs w:val="24"/>
        </w:rPr>
        <w:t xml:space="preserve">contemporaneous and cross-lagged </w:t>
      </w:r>
      <w:r>
        <w:rPr>
          <w:szCs w:val="24"/>
        </w:rPr>
        <w:t xml:space="preserve">networks to inspect </w:t>
      </w:r>
      <w:r w:rsidR="00863FC1">
        <w:rPr>
          <w:szCs w:val="24"/>
        </w:rPr>
        <w:t>within-subject dynamics</w:t>
      </w:r>
      <w:r>
        <w:rPr>
          <w:szCs w:val="24"/>
        </w:rPr>
        <w:t xml:space="preserve"> </w:t>
      </w:r>
      <w:r w:rsidRPr="00FB206C">
        <w:rPr>
          <w:szCs w:val="24"/>
          <w:lang w:val="it-IT" w:eastAsia="it-IT"/>
        </w:rPr>
        <w:t>(Epskamp, Waldorp, et al., 2017)</w:t>
      </w:r>
      <w:r>
        <w:rPr>
          <w:szCs w:val="24"/>
        </w:rPr>
        <w:t xml:space="preserve">. Furthermore, if one hypothesizes that a certain node could be causally relevant only for a class of individuals (e.g., those who get more easily exposed to certain environmental conditions), one could use techniques for estimating and for </w:t>
      </w:r>
      <w:r>
        <w:rPr>
          <w:szCs w:val="24"/>
        </w:rPr>
        <w:lastRenderedPageBreak/>
        <w:t xml:space="preserve">comparing networks in different classes of individuals </w:t>
      </w:r>
      <w:r w:rsidRPr="00FB206C">
        <w:rPr>
          <w:szCs w:val="24"/>
          <w:lang w:val="it-IT" w:eastAsia="it-IT"/>
        </w:rPr>
        <w:t>(Costantini et al., 2017; van Borkulo et al., 2017)</w:t>
      </w:r>
      <w:r>
        <w:rPr>
          <w:szCs w:val="24"/>
        </w:rPr>
        <w:t>.</w:t>
      </w:r>
    </w:p>
    <w:p w14:paraId="788E461F" w14:textId="58A07819" w:rsidR="002B0BA0" w:rsidRDefault="00061155" w:rsidP="00EE207F">
      <w:pPr>
        <w:pStyle w:val="ApaNormale"/>
        <w:jc w:val="both"/>
        <w:rPr>
          <w:szCs w:val="24"/>
        </w:rPr>
      </w:pPr>
      <w:r>
        <w:rPr>
          <w:b/>
          <w:szCs w:val="24"/>
        </w:rPr>
        <w:t>Step 2.</w:t>
      </w:r>
      <w:r>
        <w:rPr>
          <w:szCs w:val="24"/>
        </w:rPr>
        <w:t xml:space="preserve"> In the second step, a strategy for manipulating the target identified in the first step is designed. Crucially, since inner states cannot be directly manipulated, the researcher needs to act through environmental conditions that can have an influence on a certain node </w:t>
      </w:r>
      <w:r w:rsidRPr="00FB206C">
        <w:rPr>
          <w:szCs w:val="24"/>
          <w:lang w:val="it-IT" w:eastAsia="it-IT"/>
        </w:rPr>
        <w:t>(Perugini et al., 2016)</w:t>
      </w:r>
      <w:r>
        <w:rPr>
          <w:szCs w:val="24"/>
        </w:rPr>
        <w:t>. Therefore, in Step 2 the manipulation is delivered through a laboratory experiment, in order to establish a causal link between that manipulation and the target. The manipulation delivered in Step 2 should not be too long or difficult to perform (see Step 3).</w:t>
      </w:r>
    </w:p>
    <w:p w14:paraId="05251916" w14:textId="59482739" w:rsidR="00061155" w:rsidRDefault="002B0BA0">
      <w:pPr>
        <w:pStyle w:val="ApaNormale"/>
        <w:jc w:val="both"/>
      </w:pPr>
      <w:r>
        <w:rPr>
          <w:szCs w:val="24"/>
        </w:rPr>
        <w:t xml:space="preserve">The manipulation will be considered successful if it has a significant effect on the levels of the target node. </w:t>
      </w:r>
      <w:r w:rsidR="00061155">
        <w:rPr>
          <w:szCs w:val="24"/>
        </w:rPr>
        <w:t>During Step 2 one may also inspect whether the manipulation produces</w:t>
      </w:r>
      <w:r>
        <w:rPr>
          <w:szCs w:val="24"/>
        </w:rPr>
        <w:t xml:space="preserve"> at least</w:t>
      </w:r>
      <w:r w:rsidR="00061155">
        <w:rPr>
          <w:szCs w:val="24"/>
        </w:rPr>
        <w:t xml:space="preserve"> </w:t>
      </w:r>
      <w:r w:rsidR="00566259">
        <w:rPr>
          <w:szCs w:val="24"/>
        </w:rPr>
        <w:t xml:space="preserve">short-term </w:t>
      </w:r>
      <w:r w:rsidR="00061155">
        <w:rPr>
          <w:szCs w:val="24"/>
        </w:rPr>
        <w:t xml:space="preserve">changes in </w:t>
      </w:r>
      <w:r w:rsidR="00566259">
        <w:rPr>
          <w:szCs w:val="24"/>
        </w:rPr>
        <w:t xml:space="preserve">trait-relevant behaviors </w:t>
      </w:r>
      <w:r w:rsidR="00061155" w:rsidRPr="00FB206C">
        <w:rPr>
          <w:szCs w:val="24"/>
          <w:lang w:val="it-IT" w:eastAsia="it-IT"/>
        </w:rPr>
        <w:t>(</w:t>
      </w:r>
      <w:r w:rsidRPr="00ED1439">
        <w:rPr>
          <w:szCs w:val="24"/>
          <w:lang w:eastAsia="it-IT"/>
        </w:rPr>
        <w:t xml:space="preserve">i.e., </w:t>
      </w:r>
      <w:r w:rsidR="00566259" w:rsidRPr="00ED1439">
        <w:rPr>
          <w:szCs w:val="24"/>
          <w:lang w:eastAsia="it-IT"/>
        </w:rPr>
        <w:t xml:space="preserve">personality states; </w:t>
      </w:r>
      <w:r w:rsidR="00061155" w:rsidRPr="00FB206C">
        <w:rPr>
          <w:szCs w:val="24"/>
          <w:lang w:val="it-IT" w:eastAsia="it-IT"/>
        </w:rPr>
        <w:t>McCabe &amp; Fleeson, 2016)</w:t>
      </w:r>
      <w:r w:rsidR="00061155">
        <w:rPr>
          <w:szCs w:val="24"/>
        </w:rPr>
        <w:t>.</w:t>
      </w:r>
      <w:r w:rsidR="00EE207F">
        <w:rPr>
          <w:szCs w:val="24"/>
        </w:rPr>
        <w:t xml:space="preserve"> </w:t>
      </w:r>
      <w:r w:rsidR="00061155">
        <w:rPr>
          <w:szCs w:val="24"/>
        </w:rPr>
        <w:t xml:space="preserve">However, we do not consider it strictly necessary that the manipulation affects also personality states: Short-term and long-term change could be driven by forces that overlap only partially </w:t>
      </w:r>
      <w:r w:rsidR="00061155" w:rsidRPr="00FB206C">
        <w:rPr>
          <w:szCs w:val="24"/>
          <w:lang w:val="it-IT" w:eastAsia="it-IT"/>
        </w:rPr>
        <w:t>(Revelle &amp; Condon, 2017)</w:t>
      </w:r>
      <w:r w:rsidR="00061155">
        <w:rPr>
          <w:szCs w:val="24"/>
        </w:rPr>
        <w:t xml:space="preserve">. What our three-step framework aims at is generating long-term change, which is more likely to be achieved through repeated instances of manipulation. Recent research suggests a nonlinear relationship between the duration of an intervention and amount of personality change. Interventions delivered for less than four weeks produce weak effect sizes, whereas their efficacy reaches a plateau after eight weeks </w:t>
      </w:r>
      <w:r w:rsidR="00061155" w:rsidRPr="00FB206C">
        <w:rPr>
          <w:szCs w:val="24"/>
          <w:lang w:val="it-IT" w:eastAsia="it-IT"/>
        </w:rPr>
        <w:t>(Roberts, Luo, et al., 2017)</w:t>
      </w:r>
      <w:r w:rsidR="00061155">
        <w:rPr>
          <w:szCs w:val="24"/>
        </w:rPr>
        <w:t xml:space="preserve">. Similar indications come also from research on habit formation </w:t>
      </w:r>
      <w:r w:rsidR="00061155" w:rsidRPr="00FB206C">
        <w:rPr>
          <w:szCs w:val="24"/>
          <w:lang w:val="it-IT" w:eastAsia="it-IT"/>
        </w:rPr>
        <w:t>(Lally, van Jaarsveld, Potts, &amp; Wardle, 2010)</w:t>
      </w:r>
      <w:r w:rsidR="00061155">
        <w:rPr>
          <w:szCs w:val="24"/>
        </w:rPr>
        <w:t xml:space="preserve">. Furthermore, although laboratory research offers the possibility to generate standardized situations while controlling for confounds, it may lack ecological validity: It is not easy to tell whether the effects of the manipulations are specific to the laboratory context or could generalize to the multitude of situations that naturally occur in participants’ everyday lives </w:t>
      </w:r>
      <w:r w:rsidR="00061155" w:rsidRPr="00FB206C">
        <w:rPr>
          <w:szCs w:val="24"/>
          <w:lang w:val="it-IT" w:eastAsia="it-IT"/>
        </w:rPr>
        <w:t>(Heron &amp; Smyth, 2010)</w:t>
      </w:r>
      <w:r w:rsidR="00061155">
        <w:rPr>
          <w:szCs w:val="24"/>
        </w:rPr>
        <w:t xml:space="preserve">. </w:t>
      </w:r>
    </w:p>
    <w:p w14:paraId="7B402459" w14:textId="3608E4F7" w:rsidR="00061155" w:rsidRDefault="00061155">
      <w:pPr>
        <w:pStyle w:val="ApaNormale"/>
        <w:jc w:val="both"/>
      </w:pPr>
      <w:r>
        <w:rPr>
          <w:b/>
          <w:szCs w:val="24"/>
        </w:rPr>
        <w:t>Step 3.</w:t>
      </w:r>
      <w:r>
        <w:rPr>
          <w:szCs w:val="24"/>
        </w:rPr>
        <w:t xml:space="preserve"> </w:t>
      </w:r>
      <w:bookmarkStart w:id="15" w:name="_Hlk507070898"/>
      <w:bookmarkStart w:id="16" w:name="_Hlk506833233"/>
      <w:r>
        <w:rPr>
          <w:szCs w:val="24"/>
        </w:rPr>
        <w:t xml:space="preserve">If the experimental manipulation can successfully affect the target in Step 2, in Step 3 it is delivered repeatedly for a relatively long time. </w:t>
      </w:r>
      <w:bookmarkStart w:id="17" w:name="_Hlk506833152"/>
      <w:bookmarkStart w:id="18" w:name="_Hlk506832932"/>
      <w:r>
        <w:rPr>
          <w:szCs w:val="24"/>
        </w:rPr>
        <w:t xml:space="preserve">For example, a way to achieve this is through ecological momentary interventions </w:t>
      </w:r>
      <w:r w:rsidRPr="00FB206C">
        <w:rPr>
          <w:szCs w:val="24"/>
          <w:lang w:val="it-IT" w:eastAsia="it-IT"/>
        </w:rPr>
        <w:t>(EMI; Heron &amp; Smyth, 2010</w:t>
      </w:r>
      <w:r w:rsidR="003D04E8" w:rsidRPr="00ED1439">
        <w:rPr>
          <w:szCs w:val="24"/>
          <w:lang w:eastAsia="it-IT"/>
        </w:rPr>
        <w:t xml:space="preserve">; </w:t>
      </w:r>
      <w:r w:rsidR="003D04E8">
        <w:t xml:space="preserve">Sened, Lazarus, Gleason, Rafaeli, </w:t>
      </w:r>
      <w:r w:rsidR="003D04E8">
        <w:lastRenderedPageBreak/>
        <w:t>&amp; Fleeson, in press</w:t>
      </w:r>
      <w:r w:rsidRPr="00FB206C">
        <w:rPr>
          <w:szCs w:val="24"/>
          <w:lang w:val="it-IT" w:eastAsia="it-IT"/>
        </w:rPr>
        <w:t>), in which simple manipulations are delivered repeatedly to participants through mobile devices</w:t>
      </w:r>
      <w:r>
        <w:rPr>
          <w:szCs w:val="24"/>
        </w:rPr>
        <w:t>. This type of intervention has proven useful to promote smoking cessation, to promote weight loss, and to improve anxiety disorders (</w:t>
      </w:r>
      <w:r w:rsidRPr="00FB206C">
        <w:rPr>
          <w:szCs w:val="24"/>
          <w:lang w:val="it-IT" w:eastAsia="it-IT"/>
        </w:rPr>
        <w:t>Heron &amp; Smyth, 2010</w:t>
      </w:r>
      <w:r>
        <w:rPr>
          <w:szCs w:val="24"/>
        </w:rPr>
        <w:t>).</w:t>
      </w:r>
      <w:bookmarkEnd w:id="15"/>
      <w:bookmarkEnd w:id="17"/>
      <w:r>
        <w:rPr>
          <w:szCs w:val="24"/>
        </w:rPr>
        <w:t xml:space="preserve"> </w:t>
      </w:r>
      <w:bookmarkEnd w:id="16"/>
      <w:bookmarkEnd w:id="18"/>
      <w:r>
        <w:rPr>
          <w:szCs w:val="24"/>
        </w:rPr>
        <w:t xml:space="preserve">Step 3 requires long-term assessment of the personality trait of interest after the end of the EMI procedure (e.g., at a monthly frequency for one year after the manipulation is delivered) to ascertain whether the manipulation has a long-term effect on the trait </w:t>
      </w:r>
      <w:r w:rsidR="00611E0D">
        <w:rPr>
          <w:szCs w:val="24"/>
        </w:rPr>
        <w:t xml:space="preserve">or </w:t>
      </w:r>
      <w:r>
        <w:rPr>
          <w:szCs w:val="24"/>
        </w:rPr>
        <w:t xml:space="preserve">whether its effect fades in time. It is possible that, for instance, a manipulation can change the network equilibrium for a few weeks or months, but that  the network, which is subject to a series of natural environmental perturbations and multiple functional forces </w:t>
      </w:r>
      <w:r w:rsidRPr="00FB206C">
        <w:rPr>
          <w:szCs w:val="24"/>
          <w:lang w:val="it-IT" w:eastAsia="it-IT"/>
        </w:rPr>
        <w:t>(Wood et al., 2015)</w:t>
      </w:r>
      <w:r>
        <w:rPr>
          <w:szCs w:val="24"/>
        </w:rPr>
        <w:t xml:space="preserve">, tends to its original equilibrium in the long run. </w:t>
      </w:r>
    </w:p>
    <w:p w14:paraId="66BF75D9" w14:textId="77777777" w:rsidR="00061155" w:rsidRDefault="00061155">
      <w:pPr>
        <w:pStyle w:val="ApaNormale"/>
        <w:jc w:val="both"/>
      </w:pPr>
      <w:r>
        <w:rPr>
          <w:szCs w:val="24"/>
        </w:rPr>
        <w:t xml:space="preserve">One could also assess personality using ecological momentary assessment (EMA) during the intervention </w:t>
      </w:r>
      <w:r w:rsidRPr="00FB206C">
        <w:rPr>
          <w:szCs w:val="24"/>
          <w:lang w:val="it-IT" w:eastAsia="it-IT"/>
        </w:rPr>
        <w:t>(</w:t>
      </w:r>
      <w:r w:rsidR="009A22EB">
        <w:t>Sened et al., in press;</w:t>
      </w:r>
      <w:r w:rsidR="009A22EB" w:rsidRPr="00FB206C">
        <w:rPr>
          <w:szCs w:val="24"/>
          <w:lang w:val="it-IT" w:eastAsia="it-IT"/>
        </w:rPr>
        <w:t xml:space="preserve"> </w:t>
      </w:r>
      <w:r w:rsidRPr="00FB206C">
        <w:rPr>
          <w:szCs w:val="24"/>
          <w:lang w:val="it-IT" w:eastAsia="it-IT"/>
        </w:rPr>
        <w:t>Shiffman, Stone, &amp; Hufford, 2008)</w:t>
      </w:r>
      <w:r>
        <w:rPr>
          <w:szCs w:val="24"/>
        </w:rPr>
        <w:t xml:space="preserve">. However, although it could be interesting to monitor trait levels during manipulation, we advise against this idea. Monitoring personality can lead to reactivity effects on behaviors, cognitions, and emotions </w:t>
      </w:r>
      <w:r w:rsidRPr="00FB206C">
        <w:rPr>
          <w:szCs w:val="24"/>
          <w:lang w:val="it-IT" w:eastAsia="it-IT"/>
        </w:rPr>
        <w:t>(French &amp; Sutton, 2010)</w:t>
      </w:r>
      <w:r>
        <w:rPr>
          <w:szCs w:val="24"/>
        </w:rPr>
        <w:t>, therefore it can produce changes in trait-relevant behaviors due to the measurement process (EMA) and not to the manipulation (EMI). This kind of reactivity is particularly undesirable: If it affected differently the experimental and the control group, it could hinder the effects of manipulation. Furthermore, even if it affected similarly the experimental and the control groups (therefore being experimentally controlled for), it could diminish the portion of trait variance available for manipulation via EMI, thereby reducing power.</w:t>
      </w:r>
    </w:p>
    <w:p w14:paraId="5A18E810" w14:textId="77777777" w:rsidR="00061155" w:rsidRDefault="00061155">
      <w:pPr>
        <w:pStyle w:val="Titolo1"/>
      </w:pPr>
      <w:r>
        <w:t>An outline of these steps – the example of conscientiousness</w:t>
      </w:r>
    </w:p>
    <w:p w14:paraId="088B8CAD" w14:textId="77777777" w:rsidR="00061155" w:rsidRDefault="00061155">
      <w:pPr>
        <w:pStyle w:val="ApaNormale"/>
        <w:jc w:val="both"/>
      </w:pPr>
      <w:r>
        <w:rPr>
          <w:szCs w:val="24"/>
        </w:rPr>
        <w:t>We have recently performed two studies in which we analyzed networks of constructs that could be particularly relevant for the trait conscientiousness. We briefly summarize these results, which constitute the Step 1 of this framework, and extend them through an additional study that constitutes the first part of Step 2. We present an articulated description of how remaining steps might be implemented.</w:t>
      </w:r>
      <w:r>
        <w:t xml:space="preserve"> </w:t>
      </w:r>
    </w:p>
    <w:p w14:paraId="6CA07AAC" w14:textId="77777777" w:rsidR="00061155" w:rsidRDefault="00061155">
      <w:pPr>
        <w:pStyle w:val="Titolo2"/>
      </w:pPr>
      <w:r>
        <w:lastRenderedPageBreak/>
        <w:t>Step 1. Identification of candidate targets for manipulation</w:t>
      </w:r>
    </w:p>
    <w:p w14:paraId="638F10AB" w14:textId="0E44BAA4" w:rsidR="00061155" w:rsidRDefault="00061155">
      <w:pPr>
        <w:pStyle w:val="ApaNormale"/>
        <w:jc w:val="both"/>
      </w:pPr>
      <w:r>
        <w:rPr>
          <w:szCs w:val="24"/>
        </w:rPr>
        <w:t xml:space="preserve">In two previous network studies </w:t>
      </w:r>
      <w:r w:rsidRPr="00FB206C">
        <w:rPr>
          <w:szCs w:val="24"/>
          <w:lang w:val="it-IT" w:eastAsia="it-IT"/>
        </w:rPr>
        <w:t>(Costantini, Richetin, et al., 2015; Costantini &amp; Perugini, 2016b)</w:t>
      </w:r>
      <w:r>
        <w:rPr>
          <w:szCs w:val="24"/>
        </w:rPr>
        <w:t xml:space="preserve">, two main conscientiousness facets, industriousness and impulse-control, showed a consistent connection to self-control, both when self-control was assessed using the self-control measures developed by Tangney and colleagues </w:t>
      </w:r>
      <w:r w:rsidRPr="00FB206C">
        <w:rPr>
          <w:szCs w:val="24"/>
          <w:lang w:val="it-IT" w:eastAsia="it-IT"/>
        </w:rPr>
        <w:t>(Tangney, Baumeister, &amp; Boone, 2004) and when it was assessed by the measures developed by De Boer and colleagues (De Boer, Van Hooft, &amp; Bakker, 2011</w:t>
      </w:r>
      <w:r>
        <w:rPr>
          <w:szCs w:val="24"/>
        </w:rPr>
        <w:t xml:space="preserve">), which distinguished between proactive and inhibitive aspects of self-control. This connection emerged less often for </w:t>
      </w:r>
      <w:r w:rsidR="00EE207F">
        <w:rPr>
          <w:szCs w:val="24"/>
        </w:rPr>
        <w:t>the</w:t>
      </w:r>
      <w:r>
        <w:rPr>
          <w:szCs w:val="24"/>
        </w:rPr>
        <w:t xml:space="preserve"> third facet, orderliness. Interestingly, follow-up analyses revealed that the positive correlation between industriousness and impulse-control was fully explained by their connection with self-control: In two independent samples, the correlation between industriousness and impulse-control became basically null after partialling out self-control, the correlations between orderliness and these two facets being also substantially reduced </w:t>
      </w:r>
      <w:r w:rsidRPr="00FB206C">
        <w:rPr>
          <w:szCs w:val="24"/>
          <w:lang w:val="it-IT" w:eastAsia="it-IT"/>
        </w:rPr>
        <w:t>(Costantini &amp; Perugini, 2016b)</w:t>
      </w:r>
      <w:r>
        <w:rPr>
          <w:szCs w:val="24"/>
        </w:rPr>
        <w:t xml:space="preserve">. These results may indicate that self-control could be involved in the emergence of a unitary conscientiousness dimension over time, by exerting a similar influence over its main facets. However, observational data do not allow disentangling alternative causal explanations of this observed pattern: For instance, it is possible that conscientiousness facets are the cause of self-control. Alternatively, self-control could be just another indicator of the latent causal </w:t>
      </w:r>
      <w:r w:rsidR="00296665">
        <w:rPr>
          <w:szCs w:val="24"/>
        </w:rPr>
        <w:t>“</w:t>
      </w:r>
      <w:r>
        <w:rPr>
          <w:szCs w:val="24"/>
        </w:rPr>
        <w:t>generator</w:t>
      </w:r>
      <w:r w:rsidR="00296665">
        <w:rPr>
          <w:szCs w:val="24"/>
        </w:rPr>
        <w:t>”</w:t>
      </w:r>
      <w:r>
        <w:rPr>
          <w:szCs w:val="24"/>
        </w:rPr>
        <w:t xml:space="preserve"> of conscientiousness, which would be responsible for its covariation with conscientiousness facets. These alternative possibilities could be examined via experimental research: If a latent causal </w:t>
      </w:r>
      <w:r w:rsidR="00296665">
        <w:rPr>
          <w:szCs w:val="24"/>
        </w:rPr>
        <w:t>“</w:t>
      </w:r>
      <w:r>
        <w:rPr>
          <w:szCs w:val="24"/>
        </w:rPr>
        <w:t>generator</w:t>
      </w:r>
      <w:r w:rsidR="00296665">
        <w:rPr>
          <w:szCs w:val="24"/>
        </w:rPr>
        <w:t>”</w:t>
      </w:r>
      <w:r>
        <w:rPr>
          <w:szCs w:val="24"/>
        </w:rPr>
        <w:t xml:space="preserve"> is there, manipulating self-control should not affect conscientiousness facets. Therefore, the first step indicates self-control as a potential candidate target node to manipulate in the second step of our framework.</w:t>
      </w:r>
    </w:p>
    <w:p w14:paraId="027F5774" w14:textId="77777777" w:rsidR="00061155" w:rsidRDefault="00061155">
      <w:pPr>
        <w:pStyle w:val="Titolo2"/>
      </w:pPr>
      <w:r>
        <w:t>Step 2. Develop a successful experimental manipulation of the target</w:t>
      </w:r>
    </w:p>
    <w:p w14:paraId="6A4A9CC2" w14:textId="77777777" w:rsidR="00061155" w:rsidRDefault="00061155">
      <w:pPr>
        <w:pStyle w:val="ApaNormale"/>
        <w:jc w:val="both"/>
      </w:pPr>
      <w:r>
        <w:rPr>
          <w:szCs w:val="24"/>
        </w:rPr>
        <w:t xml:space="preserve">Implementing the second step requires the identification of a method for manipulating self-control. Self-control has been widely investigated within the ego-depletion literature </w:t>
      </w:r>
      <w:r w:rsidRPr="00FB206C">
        <w:rPr>
          <w:szCs w:val="24"/>
          <w:lang w:val="it-IT" w:eastAsia="it-IT"/>
        </w:rPr>
        <w:t>(Baumeister, Bratslavsky, Muraven, &amp; Tice, 1998)</w:t>
      </w:r>
      <w:r>
        <w:rPr>
          <w:szCs w:val="24"/>
        </w:rPr>
        <w:t xml:space="preserve"> and several manipulations and training procedures of self-</w:t>
      </w:r>
      <w:r>
        <w:rPr>
          <w:szCs w:val="24"/>
        </w:rPr>
        <w:lastRenderedPageBreak/>
        <w:t xml:space="preserve">control have been developed </w:t>
      </w:r>
      <w:r w:rsidRPr="00FB206C">
        <w:rPr>
          <w:szCs w:val="24"/>
          <w:lang w:val="it-IT" w:eastAsia="it-IT"/>
        </w:rPr>
        <w:t>(e.g., the handgrip-squeezing task and the nondominant-hand task; e.g., Denson et al., 2016; Job, Friese, &amp; Bernecker, 2015)</w:t>
      </w:r>
      <w:r>
        <w:rPr>
          <w:szCs w:val="24"/>
        </w:rPr>
        <w:t xml:space="preserve">. However, the ego-depletion idea received limited support recently </w:t>
      </w:r>
      <w:r w:rsidRPr="00FB206C">
        <w:rPr>
          <w:szCs w:val="24"/>
          <w:lang w:val="it-IT" w:eastAsia="it-IT"/>
        </w:rPr>
        <w:t>(Hagger &amp; Chatzisarantis, 2016; Hagger, Wood, Stiff, &amp; Chatzisarantis, 2010)</w:t>
      </w:r>
      <w:r>
        <w:rPr>
          <w:szCs w:val="24"/>
        </w:rPr>
        <w:t xml:space="preserve"> and the effect sizes of manipulations could be smaller than previously thought, if not completely null </w:t>
      </w:r>
      <w:r w:rsidRPr="00FB206C">
        <w:rPr>
          <w:szCs w:val="24"/>
          <w:lang w:val="it-IT" w:eastAsia="it-IT"/>
        </w:rPr>
        <w:t>(Beames, Schofield, &amp; Denson, 2017; Friese, Frankenbach, Job, &amp; Loschelder, 2017; Inzlicht &amp; Berkman, 2015; Lee &amp; Kemmelmeier, 2017; Miles et al., 2016)</w:t>
      </w:r>
      <w:r>
        <w:rPr>
          <w:szCs w:val="24"/>
        </w:rPr>
        <w:t xml:space="preserve">. </w:t>
      </w:r>
    </w:p>
    <w:p w14:paraId="4B6CB158" w14:textId="77777777" w:rsidR="00061155" w:rsidRDefault="00061155">
      <w:pPr>
        <w:pStyle w:val="ApaNormale"/>
        <w:jc w:val="both"/>
      </w:pPr>
      <w:r>
        <w:rPr>
          <w:szCs w:val="24"/>
        </w:rPr>
        <w:t xml:space="preserve">Recent literature suggests that self-control reflects a broad array of strategies that allow advancing abstract and distal goals over concrete and proximal motives </w:t>
      </w:r>
      <w:r w:rsidRPr="00FB206C">
        <w:rPr>
          <w:szCs w:val="24"/>
          <w:lang w:val="it-IT" w:eastAsia="it-IT"/>
        </w:rPr>
        <w:t>(Fujita, 2011)</w:t>
      </w:r>
      <w:r>
        <w:rPr>
          <w:szCs w:val="24"/>
        </w:rPr>
        <w:t xml:space="preserve">. In this view, self-control is inextricably connected to the goal system </w:t>
      </w:r>
      <w:r w:rsidRPr="00FB206C">
        <w:rPr>
          <w:szCs w:val="24"/>
          <w:lang w:val="it-IT" w:eastAsia="it-IT"/>
        </w:rPr>
        <w:t>(Duckworth &amp; Gross, 2014; Kruglanski et al., 2002; Shah, Kruglanski, &amp; Friedman, 2003)</w:t>
      </w:r>
      <w:r>
        <w:rPr>
          <w:szCs w:val="24"/>
        </w:rPr>
        <w:t xml:space="preserve">. For instance, only if a stimulus (e.g., a beer) conflicts with a goal (e.g., studying) it becomes a temptation that requires self-control </w:t>
      </w:r>
      <w:r w:rsidRPr="00FB206C">
        <w:rPr>
          <w:szCs w:val="24"/>
          <w:lang w:val="it-IT" w:eastAsia="it-IT"/>
        </w:rPr>
        <w:t>(Milyavskaya, Inzlicht, Hope, &amp; Koestner, 2015)</w:t>
      </w:r>
      <w:r>
        <w:rPr>
          <w:szCs w:val="24"/>
        </w:rPr>
        <w:t xml:space="preserve">. Recent research showed that self-controlled individuals report fewer temptations </w:t>
      </w:r>
      <w:r w:rsidRPr="00FB206C">
        <w:rPr>
          <w:szCs w:val="24"/>
          <w:lang w:val="it-IT" w:eastAsia="it-IT"/>
        </w:rPr>
        <w:t>(Hofmann, Baumeister, Förster, &amp; Vohs, 2012)</w:t>
      </w:r>
      <w:r>
        <w:rPr>
          <w:szCs w:val="24"/>
        </w:rPr>
        <w:t xml:space="preserve"> and less-frequent impulse inhibition </w:t>
      </w:r>
      <w:r w:rsidRPr="00FB206C">
        <w:rPr>
          <w:szCs w:val="24"/>
          <w:lang w:val="it-IT" w:eastAsia="it-IT"/>
        </w:rPr>
        <w:t>(Imhoff, Schmidt, &amp; Gerstenberg, 2014)</w:t>
      </w:r>
      <w:r>
        <w:rPr>
          <w:szCs w:val="24"/>
        </w:rPr>
        <w:t xml:space="preserve">. Similarly, effective self-control seems to be associated with effortless strategies compared to actively resisting temptations, such as situation selection </w:t>
      </w:r>
      <w:r w:rsidRPr="00FB206C">
        <w:rPr>
          <w:szCs w:val="24"/>
          <w:lang w:val="it-IT" w:eastAsia="it-IT"/>
        </w:rPr>
        <w:t>(Duckworth, Gendler, &amp; Gross, 2016; Ent, Baumeister, &amp; Tice, 2015)</w:t>
      </w:r>
      <w:r>
        <w:rPr>
          <w:szCs w:val="24"/>
        </w:rPr>
        <w:t xml:space="preserve"> or the formation of habits </w:t>
      </w:r>
      <w:r w:rsidRPr="00FB206C">
        <w:rPr>
          <w:szCs w:val="24"/>
          <w:lang w:val="it-IT" w:eastAsia="it-IT"/>
        </w:rPr>
        <w:t>(Galla &amp; Duckworth, 2015; Gillebaart &amp; de Ridder, 2015)</w:t>
      </w:r>
      <w:r>
        <w:rPr>
          <w:szCs w:val="24"/>
        </w:rPr>
        <w:t xml:space="preserve">. These results suggest that self-control could reflect a goal-system in which long-term goals are well integrated in the self </w:t>
      </w:r>
      <w:r w:rsidRPr="00FB206C">
        <w:rPr>
          <w:szCs w:val="24"/>
          <w:lang w:val="it-IT" w:eastAsia="it-IT"/>
        </w:rPr>
        <w:t>(Sheldon, 2014; Sheldon &amp; Elliot, 1998)</w:t>
      </w:r>
      <w:r>
        <w:rPr>
          <w:szCs w:val="24"/>
        </w:rPr>
        <w:t xml:space="preserve">, such that </w:t>
      </w:r>
      <w:r w:rsidRPr="00FB206C">
        <w:rPr>
          <w:szCs w:val="24"/>
          <w:lang w:val="it-IT" w:eastAsia="it-IT"/>
        </w:rPr>
        <w:t>a higher value is assigned to goal-consistent choices compared to goal-inconsistent ones (Berkman, Hutcherson, Livingston, Kahn, &amp; Inzlicht, 2017),</w:t>
      </w:r>
      <w:r>
        <w:rPr>
          <w:szCs w:val="24"/>
        </w:rPr>
        <w:t xml:space="preserve"> thus leading to less conflict between competing motives </w:t>
      </w:r>
      <w:r w:rsidRPr="00FB206C">
        <w:rPr>
          <w:szCs w:val="24"/>
          <w:lang w:val="it-IT" w:eastAsia="it-IT"/>
        </w:rPr>
        <w:t>(Fujita, 2011)</w:t>
      </w:r>
      <w:r>
        <w:rPr>
          <w:szCs w:val="24"/>
        </w:rPr>
        <w:t xml:space="preserve">. </w:t>
      </w:r>
    </w:p>
    <w:p w14:paraId="23DC58E8" w14:textId="3612CF47" w:rsidR="00061155" w:rsidRDefault="00061155">
      <w:pPr>
        <w:pStyle w:val="ApaNormale"/>
        <w:jc w:val="both"/>
      </w:pPr>
      <w:r>
        <w:rPr>
          <w:szCs w:val="24"/>
        </w:rPr>
        <w:t xml:space="preserve">The idea that changing conscientiousness requires intervening directly or indirectly on goals is consistent with previous research </w:t>
      </w:r>
      <w:r w:rsidRPr="00FB206C">
        <w:rPr>
          <w:szCs w:val="24"/>
          <w:lang w:val="it-IT" w:eastAsia="it-IT"/>
        </w:rPr>
        <w:t>(Hennecke, Bleidorn, Denissen, &amp; Wood, 2014; McCabe &amp; Fleeson, 2016; Roberts, Hill, &amp; Davis, 2017)</w:t>
      </w:r>
      <w:r>
        <w:rPr>
          <w:szCs w:val="24"/>
        </w:rPr>
        <w:t xml:space="preserve">. This idea is further supported by the fact that a network analysis of conscientiousness </w:t>
      </w:r>
      <w:r w:rsidRPr="00FB206C">
        <w:rPr>
          <w:szCs w:val="24"/>
          <w:lang w:val="it-IT" w:eastAsia="it-IT"/>
        </w:rPr>
        <w:t>(Costantini &amp; Perugini, 2016b)</w:t>
      </w:r>
      <w:r>
        <w:rPr>
          <w:szCs w:val="24"/>
        </w:rPr>
        <w:t xml:space="preserve"> revealed also a connection between conscientiousness facets and a tendency to focus on future </w:t>
      </w:r>
      <w:r w:rsidRPr="00FB206C">
        <w:rPr>
          <w:szCs w:val="24"/>
          <w:lang w:val="it-IT" w:eastAsia="it-IT"/>
        </w:rPr>
        <w:t>(Zimbardo &amp; Boyd, 1999)</w:t>
      </w:r>
      <w:r>
        <w:rPr>
          <w:szCs w:val="24"/>
        </w:rPr>
        <w:t xml:space="preserve"> and to consider </w:t>
      </w:r>
      <w:r>
        <w:rPr>
          <w:szCs w:val="24"/>
        </w:rPr>
        <w:lastRenderedPageBreak/>
        <w:t xml:space="preserve">future consequences </w:t>
      </w:r>
      <w:r w:rsidRPr="00FB206C">
        <w:rPr>
          <w:szCs w:val="24"/>
          <w:lang w:val="it-IT" w:eastAsia="it-IT"/>
        </w:rPr>
        <w:t>(Strathman, Gleicher, Boninger, &amp; Edwards, 1994)</w:t>
      </w:r>
      <w:r>
        <w:rPr>
          <w:szCs w:val="24"/>
        </w:rPr>
        <w:t xml:space="preserve">. Self-control, future orientation, and considering future consequences are all essential ingredients for goal pursuit: A goal is by definition relative to a desired future end-point. However, the effects of an intervention involving self-control and goals on trait conscientiousness in the long term have not been tested yet. Efforts to manipulate conscientiousness in the long-term have been limited to single-case studies </w:t>
      </w:r>
      <w:r w:rsidRPr="00FB206C">
        <w:rPr>
          <w:szCs w:val="24"/>
          <w:lang w:val="it-IT" w:eastAsia="it-IT"/>
        </w:rPr>
        <w:t>(Magidson, Roberts, Collado-Rodriguez, &amp; Lejuez, 2014)</w:t>
      </w:r>
      <w:r>
        <w:rPr>
          <w:szCs w:val="24"/>
        </w:rPr>
        <w:t>. Self-control</w:t>
      </w:r>
      <w:r w:rsidR="00EE207F">
        <w:rPr>
          <w:szCs w:val="24"/>
        </w:rPr>
        <w:t xml:space="preserve"> manipulations</w:t>
      </w:r>
      <w:r>
        <w:rPr>
          <w:szCs w:val="24"/>
        </w:rPr>
        <w:t xml:space="preserve"> based on the goal-system h</w:t>
      </w:r>
      <w:r w:rsidR="00F01011">
        <w:rPr>
          <w:szCs w:val="24"/>
        </w:rPr>
        <w:t>ave</w:t>
      </w:r>
      <w:r>
        <w:rPr>
          <w:szCs w:val="24"/>
        </w:rPr>
        <w:t xml:space="preserve"> been successfully implemented by iteratively asking participants to generate superordinate ends</w:t>
      </w:r>
      <w:r w:rsidR="001D4473">
        <w:rPr>
          <w:szCs w:val="24"/>
        </w:rPr>
        <w:t xml:space="preserve"> (vs. means)</w:t>
      </w:r>
      <w:r>
        <w:rPr>
          <w:szCs w:val="24"/>
        </w:rPr>
        <w:t xml:space="preserve"> for a given goal </w:t>
      </w:r>
      <w:r w:rsidRPr="00FB206C">
        <w:rPr>
          <w:szCs w:val="24"/>
          <w:lang w:val="it-IT" w:eastAsia="it-IT"/>
        </w:rPr>
        <w:t>(Freitas, Gollwitzer, &amp; Trope, 2004)</w:t>
      </w:r>
      <w:r>
        <w:rPr>
          <w:szCs w:val="24"/>
        </w:rPr>
        <w:t xml:space="preserve">. This manipulation is thought to induce high-level construal </w:t>
      </w:r>
      <w:r w:rsidRPr="00FB206C">
        <w:rPr>
          <w:szCs w:val="24"/>
          <w:lang w:val="it-IT" w:eastAsia="it-IT"/>
        </w:rPr>
        <w:t>(Trope &amp; Liberman, 2010)</w:t>
      </w:r>
      <w:r>
        <w:rPr>
          <w:szCs w:val="24"/>
        </w:rPr>
        <w:t xml:space="preserve">, thus activating abstract superordinate goals and reducing the relevance of current tempting stimulus features </w:t>
      </w:r>
      <w:r w:rsidRPr="00FB206C">
        <w:rPr>
          <w:lang w:val="it-IT" w:eastAsia="it-IT"/>
        </w:rPr>
        <w:t>(Fujita &amp; Carnevale, 2012; Fujita &amp; Roberts, 2010; Fujita, Trope, Liberman, &amp; Levin-Sagi, 2006)</w:t>
      </w:r>
      <w:r>
        <w:t xml:space="preserve">. </w:t>
      </w:r>
      <w:r>
        <w:rPr>
          <w:szCs w:val="24"/>
        </w:rPr>
        <w:t>Literature connected to goal pursuit suggests that it may also be important to inform participants that their ability to pursue conscientious goals is not fixed, but that it can improve (Dweck, 2006) and that reflection on obstacles to the pursuit of conscientious goals and on strategies to overcome such obstacles might be beneficial (Duckworth, Grant, Loew, Oettingen, &amp; Gollwitzer, 2011).</w:t>
      </w:r>
    </w:p>
    <w:p w14:paraId="574B9140" w14:textId="5095713D" w:rsidR="00061155" w:rsidRDefault="00061155">
      <w:pPr>
        <w:pStyle w:val="ApaNormale"/>
        <w:jc w:val="both"/>
      </w:pPr>
      <w:r>
        <w:t xml:space="preserve">Implementing procedures for Step 2 requires identifying a relatively comprehensive set of goals connected to the positive pole of conscientiousness. </w:t>
      </w:r>
      <w:r>
        <w:rPr>
          <w:szCs w:val="24"/>
        </w:rPr>
        <w:t xml:space="preserve">Previous research already attempted to connect goals to personality dimensions </w:t>
      </w:r>
      <w:r w:rsidRPr="00FB206C">
        <w:rPr>
          <w:szCs w:val="24"/>
          <w:lang w:val="it-IT" w:eastAsia="it-IT"/>
        </w:rPr>
        <w:t>(Lüdtke, Trautwein, &amp; Husemann, 2009; McCabe &amp; Fleeson, 2012, 2016; Reisz, Boudreaux, &amp; Ozer, 2013; Roberts &amp; Robins, 2000)</w:t>
      </w:r>
      <w:r>
        <w:rPr>
          <w:szCs w:val="24"/>
        </w:rPr>
        <w:t xml:space="preserve">. However, these studies focused either on very broad goals </w:t>
      </w:r>
      <w:r w:rsidRPr="00FB206C">
        <w:rPr>
          <w:szCs w:val="24"/>
          <w:lang w:val="it-IT" w:eastAsia="it-IT"/>
        </w:rPr>
        <w:t>(Lüdtke et al., 2009; Reisz et al., 2013; Roberts &amp; Robins, 2000)</w:t>
      </w:r>
      <w:r>
        <w:rPr>
          <w:szCs w:val="24"/>
        </w:rPr>
        <w:t xml:space="preserve"> and general motivational tendencies </w:t>
      </w:r>
      <w:r w:rsidRPr="00FB206C">
        <w:rPr>
          <w:szCs w:val="24"/>
          <w:lang w:val="it-IT" w:eastAsia="it-IT"/>
        </w:rPr>
        <w:t>(McCabe, Van Yperen, Elliot, &amp; Verbraak, 2013; Sorić, Penezić, &amp; Burić, 2017)</w:t>
      </w:r>
      <w:r>
        <w:rPr>
          <w:szCs w:val="24"/>
        </w:rPr>
        <w:t xml:space="preserve">, or on a very specific subset of goals </w:t>
      </w:r>
      <w:r w:rsidRPr="00FB206C">
        <w:rPr>
          <w:szCs w:val="24"/>
          <w:lang w:val="it-IT" w:eastAsia="it-IT"/>
        </w:rPr>
        <w:t>(McCabe &amp; Fleeson, 2016)</w:t>
      </w:r>
      <w:r>
        <w:rPr>
          <w:szCs w:val="24"/>
        </w:rPr>
        <w:t xml:space="preserve">, and did not provide a comprehensive map that shows how these goals are organized </w:t>
      </w:r>
      <w:r w:rsidRPr="00FB206C">
        <w:rPr>
          <w:szCs w:val="24"/>
          <w:lang w:val="it-IT" w:eastAsia="it-IT"/>
        </w:rPr>
        <w:t>(Bagozzi et al., 2003; Kruglanski et al., 2002)</w:t>
      </w:r>
      <w:r>
        <w:rPr>
          <w:szCs w:val="24"/>
        </w:rPr>
        <w:t>.</w:t>
      </w:r>
      <w:r>
        <w:t xml:space="preserve"> To this end, we performed a study to generate a broad array of goals relevant to conscientiousness and its facets. </w:t>
      </w:r>
    </w:p>
    <w:p w14:paraId="1026011D" w14:textId="77777777" w:rsidR="00B07D22" w:rsidRDefault="00B07D22">
      <w:pPr>
        <w:pStyle w:val="ApaNormale"/>
        <w:jc w:val="both"/>
      </w:pPr>
    </w:p>
    <w:p w14:paraId="09101D58" w14:textId="77777777" w:rsidR="00061155" w:rsidRDefault="00061155">
      <w:pPr>
        <w:pStyle w:val="Titolo3"/>
      </w:pPr>
      <w:r>
        <w:lastRenderedPageBreak/>
        <w:t>Method.</w:t>
      </w:r>
    </w:p>
    <w:p w14:paraId="4A426B52" w14:textId="77777777" w:rsidR="00061155" w:rsidRDefault="00061155">
      <w:pPr>
        <w:pStyle w:val="ApaNormale"/>
      </w:pPr>
      <w:r>
        <w:rPr>
          <w:b/>
          <w:i/>
        </w:rPr>
        <w:t>Participants.</w:t>
      </w:r>
      <w:r>
        <w:t xml:space="preserve"> Forty participants (29 females, M age = 24.2 years, SD = 1.5) took part in the study on a voluntary basis.</w:t>
      </w:r>
    </w:p>
    <w:p w14:paraId="711C0506" w14:textId="77777777" w:rsidR="00061155" w:rsidRDefault="00061155">
      <w:pPr>
        <w:pStyle w:val="ApaNormale"/>
      </w:pPr>
      <w:r>
        <w:rPr>
          <w:b/>
          <w:i/>
        </w:rPr>
        <w:t>Procedure.</w:t>
      </w:r>
      <w:r>
        <w:t xml:space="preserve"> Participants completed two goal-eliciting procedures. To control for potential order effects, items within each procedure were presented in a random order. The materials were administered online using the software Qualtrics (</w:t>
      </w:r>
      <w:hyperlink r:id="rId9" w:history="1">
        <w:r>
          <w:rPr>
            <w:rStyle w:val="WW-InternetLink"/>
          </w:rPr>
          <w:t>www.qualtrics.com</w:t>
        </w:r>
      </w:hyperlink>
      <w:r>
        <w:t>).</w:t>
      </w:r>
    </w:p>
    <w:p w14:paraId="5AF9A805" w14:textId="77777777" w:rsidR="00061155" w:rsidRDefault="00061155">
      <w:pPr>
        <w:pStyle w:val="ApaNormale"/>
      </w:pPr>
      <w:r>
        <w:rPr>
          <w:b/>
          <w:i/>
        </w:rPr>
        <w:t>Materials.</w:t>
      </w:r>
    </w:p>
    <w:p w14:paraId="36AFB6F0" w14:textId="77777777" w:rsidR="00061155" w:rsidRDefault="00061155">
      <w:pPr>
        <w:pStyle w:val="ApaNormale"/>
      </w:pPr>
      <w:r>
        <w:rPr>
          <w:i/>
        </w:rPr>
        <w:t>First goal-eliciting procedure</w:t>
      </w:r>
      <w:r>
        <w:t xml:space="preserve">. Participants were presented a personality-descriptive adjective related to conscientiousness (e.g., “industrious”) and they answered the open-ended question “Why do you or would you behave in an &lt;industrious&gt; way?”. The procedure was repeated for each of 44 adjectives. </w:t>
      </w:r>
      <w:r>
        <w:rPr>
          <w:szCs w:val="24"/>
        </w:rPr>
        <w:t xml:space="preserve">Forty of them were items of the Adjective Checklist of Conscientiousness (Costantini, Richetin et al., 2015). This scale was designed to cover four conscientiousness facets, with ten items each: industriousness, impulse-control, orderliness, and responsibility. Items that assessed general conscientiousness (e.g., “conscientious”) had been originally dropped during the construction of the scale (Costantini, Richetin et al., 2015). Since we were interested in eliciting goals also for general conscientiousness adjectives, we included four additional items that assessed conscientiousness without being clearly part of a specific facet. These four adjectives were </w:t>
      </w:r>
      <w:r>
        <w:rPr>
          <w:i/>
          <w:szCs w:val="24"/>
        </w:rPr>
        <w:t>conscientious</w:t>
      </w:r>
      <w:r>
        <w:rPr>
          <w:szCs w:val="24"/>
        </w:rPr>
        <w:t xml:space="preserve"> (coscienzioso), </w:t>
      </w:r>
      <w:r>
        <w:rPr>
          <w:i/>
          <w:szCs w:val="24"/>
        </w:rPr>
        <w:t>unconscientious</w:t>
      </w:r>
      <w:r>
        <w:rPr>
          <w:szCs w:val="24"/>
        </w:rPr>
        <w:t xml:space="preserve"> (incosciente), </w:t>
      </w:r>
      <w:r>
        <w:rPr>
          <w:i/>
          <w:szCs w:val="24"/>
        </w:rPr>
        <w:t>scrupulous</w:t>
      </w:r>
      <w:r>
        <w:rPr>
          <w:szCs w:val="24"/>
        </w:rPr>
        <w:t xml:space="preserve"> (scrupoloso), and </w:t>
      </w:r>
      <w:r>
        <w:rPr>
          <w:i/>
          <w:szCs w:val="24"/>
        </w:rPr>
        <w:t>distracted</w:t>
      </w:r>
      <w:r>
        <w:rPr>
          <w:szCs w:val="24"/>
        </w:rPr>
        <w:t xml:space="preserve"> (distratto). </w:t>
      </w:r>
      <w:r>
        <w:t xml:space="preserve">Participants were instructed to avoid generic answers such as “because I am made like this” or “because I like it” and they were told that they could mention the same goal in more than one answer if they wanted to. </w:t>
      </w:r>
    </w:p>
    <w:p w14:paraId="0E09D6FA" w14:textId="77777777" w:rsidR="00061155" w:rsidRDefault="00061155">
      <w:pPr>
        <w:pStyle w:val="ApaNormale"/>
        <w:jc w:val="both"/>
      </w:pPr>
      <w:r>
        <w:rPr>
          <w:i/>
        </w:rPr>
        <w:t>Second goal-eliciting procedure.</w:t>
      </w:r>
      <w:r>
        <w:t xml:space="preserve"> Participants were reminded of each of the goals that they indicated at the first stage and they were asked why the goal was important to them. For instance, if during the first goal-eliciting procedure a participant answered that he would behave in an industrious way to “graduate”, in the second eliciting procedure he was presented the following question: “In the </w:t>
      </w:r>
      <w:r>
        <w:lastRenderedPageBreak/>
        <w:t>previous questionnaire, you said that you behave or would behave in an industrious way for this reason: &lt;graduate&gt;. Why is this or could this be important for you?”.</w:t>
      </w:r>
    </w:p>
    <w:p w14:paraId="2A88FABB" w14:textId="77777777" w:rsidR="00061155" w:rsidRDefault="00061155">
      <w:pPr>
        <w:pStyle w:val="Titolo3"/>
      </w:pPr>
      <w:r>
        <w:t>Results and discussion.</w:t>
      </w:r>
    </w:p>
    <w:p w14:paraId="64079D77" w14:textId="77777777" w:rsidR="00061155" w:rsidRDefault="00061155">
      <w:pPr>
        <w:pStyle w:val="ApaNormale"/>
      </w:pPr>
      <w:r>
        <w:rPr>
          <w:i/>
        </w:rPr>
        <w:t>Identification of classes of homogeneous goals.</w:t>
      </w:r>
      <w:r>
        <w:t xml:space="preserve"> Our template elicited 3520 open-ended answers (40 participants by 88 questions). Many of them could not be considered goals (e.g. “I wouldn’t do that”). Several goals were similar and could be considered part of an equivalent class of goals (e.g., “to be accepted in a group”, “to be accepted by others”). Therefore, it was necessary (1) to identify and remove answers that did not refer to goals and (2) to identify classes of homogeneous goals.</w:t>
      </w:r>
    </w:p>
    <w:p w14:paraId="1330CDA7" w14:textId="77777777" w:rsidR="00061155" w:rsidRDefault="00061155">
      <w:pPr>
        <w:pStyle w:val="ApaNormale"/>
      </w:pPr>
      <w:r>
        <w:t>Two raters independently judged each sentence as a goal or non-goal. Ratings were performed after removing information about adjectives that elicited the goals and the subject identifiers from the dataset. Before beginning their task, raters agreed that the following types of answer qualified as non-goals: Responses of individuals who did not know how to answer (e.g., “I don’t know”, “it depends”); vague answers or general statements (e.g., “It is essential to me”, “responsibilities shape a person’s character”); descriptions of situations in which the behavior is performed (e.g., “when I am not interested”, “when I am tired”); causes of behavior (e.g., “because it is a good thing to reflect on what we do”); and statements that included as a goal one of the conscientiousness adjectives (e.g., “to be responsible”). Raters reached a good agreement: Of the 3520 goals, 1778 were consensually identified as goals and 1447 as non-goals (percent agreement = 91.6%, Cohen’s K = .83). Disagreements were resolved by discussion between raters. This analysis resulted in the identification of 1973 goals (versus 1547 non-goals). One rater inspected the remaining 1973 goals and identified 26 classes in which the goals could be classified (see Table 2). Two raters independently classified each goal in one of the classes, with the instruction of identifying the best-fitting class for ambiguous goals. Of the 1973 goals, 1623 were consensually classified (percent agreement = 82.3%, Cohen’s K = .81), disagreements were resolved by discussion between raters.</w:t>
      </w:r>
    </w:p>
    <w:p w14:paraId="524E36F7" w14:textId="77777777" w:rsidR="00061155" w:rsidRDefault="00061155">
      <w:pPr>
        <w:pStyle w:val="ApaNormale"/>
      </w:pPr>
      <w:r>
        <w:rPr>
          <w:i/>
        </w:rPr>
        <w:lastRenderedPageBreak/>
        <w:t>Association between goal classes and conscientiousness: The Relative Conscientiousness Score</w:t>
      </w:r>
      <w:r>
        <w:t>. In Table 2, we report a contingency table indicating how frequently goals of each of the 26 classes were elicited by adjectives belonging to the positive or the negative poles of conscientiousness. Additionally, we also report how frequently each goal was elicited by the positive and negative poles of four conscientiousness facets. Some goal classes were elicited more often by adjectives of the positive pole of conscientiousness, for instance, class 12 (“Do something well, avoid mistakes”) was elicited only by adjectives of the positive pole of conscientiousness (106 times). Other classes were elicited more by the negative poles of conscientiousness, such as class 23 (“Manifest or vent a negative emotion”), which was elicited only by adjectives of the negative pole (45 times). Other classes were elicited with a similar frequency by adjectives of both poles. For instance, class 18 (“Do not have repentance or remorse, do not miss opportunities”) was elicited 18 times by adjectives of the positive pole and 10 times by those of the negative pole.</w:t>
      </w:r>
    </w:p>
    <w:p w14:paraId="1D9F7D85" w14:textId="66BA7237" w:rsidR="00061155" w:rsidRDefault="00061155">
      <w:pPr>
        <w:pStyle w:val="ApaNormale"/>
        <w:rPr>
          <w:i/>
        </w:rPr>
      </w:pPr>
      <w:bookmarkStart w:id="19" w:name="_Hlk506983529"/>
      <w:r>
        <w:t xml:space="preserve">We performed a chi-square test for independence in the contingency table defined by the 26 goal classes and the two poles of conscientiousness. P-values were computed using a Monte Carlo procedure with 10,000 replicates, as implemented in the R function </w:t>
      </w:r>
      <w:r>
        <w:rPr>
          <w:i/>
        </w:rPr>
        <w:t>chisq.test</w:t>
      </w:r>
      <w:r>
        <w:t xml:space="preserve"> </w:t>
      </w:r>
      <w:bookmarkStart w:id="20" w:name="__Fieldmark__446_136197465"/>
      <w:r>
        <w:fldChar w:fldCharType="begin"/>
      </w:r>
      <w:r>
        <w:instrText>ADDIN CSL_CITATION { "citationItems" : [ { "id" : "ITEM-1", "itemData" : { "ISBN" : "3900051070", "ISSN" : "16000706", "PMID" : "16106260", "author" : [ { "dropping-particle" : "", "family" : "R Core Team", "given" : "", "non-dropping-particle" : "", "parse-names" : false, "suffix" : "" } ], "id" : "ITEM-1", "issued" : { "date-parts" : [ [ "2017" ] ] }, "publisher" : "R Foundation for Statistical Computing", "publisher-place" : "Vienna", "title" : "R: a language and environment for statistical computing. Version 3.3.3.", "type" : "book" }, "uris" : [ "http://www.mendeley.com/documents/?uuid=c09b4dbb-d0bb-4940-ade0-a5264cc408b3" ] } ], "mendeley" : { "formattedCitation" : "(R Core Team, 2017)", "plainTextFormattedCitation" : "(R Core Team, 2017)", "previouslyFormattedCitation" : "(R Core Team, 2017)" }, "properties" : {  }, "schema" : "https://github.com/citation-style-language/schema/raw/master/csl-citation.json" }</w:instrText>
      </w:r>
      <w:r>
        <w:fldChar w:fldCharType="separate"/>
      </w:r>
      <w:r w:rsidRPr="00FB206C">
        <w:rPr>
          <w:lang w:val="it-IT" w:eastAsia="it-IT"/>
        </w:rPr>
        <w:t>(R Core Team, 2017)</w:t>
      </w:r>
      <w:r>
        <w:rPr>
          <w:lang w:val="it-IT" w:eastAsia="it-IT"/>
        </w:rPr>
        <w:fldChar w:fldCharType="end"/>
      </w:r>
      <w:bookmarkEnd w:id="20"/>
      <w:r>
        <w:t>. Results revealed an association between goal classes and conscientiousness poles, χ</w:t>
      </w:r>
      <w:r>
        <w:rPr>
          <w:vertAlign w:val="superscript"/>
        </w:rPr>
        <w:t>2</w:t>
      </w:r>
      <w:r>
        <w:t>(25)</w:t>
      </w:r>
      <w:r>
        <w:rPr>
          <w:vertAlign w:val="superscript"/>
        </w:rPr>
        <w:t xml:space="preserve"> </w:t>
      </w:r>
      <w:r>
        <w:t xml:space="preserve">= 1134, p &lt; .001. </w:t>
      </w:r>
      <w:bookmarkStart w:id="21" w:name="_Hlk506984331"/>
      <w:r>
        <w:t>To identify goal classes unambiguously associated with high conscientiousness, we inspected standardized residuals. Residuals in a contingency table are computed as the difference between the observed frequency in a cell and the frequency that would be expected in the cell if the two variables (in this case, the goal class and the poles of conscientiousness) were independent. A positive (vs. negative) residual in a cell indicates that the observed frequency is larger (vs. smaller) than expected. Standardized residuals can be computed by dividing residuals by their standard error. Standardized residuals follow a standard normal distribution, therefore absolute values larger than 3 indicate a highly significant lack of fit of the independence hypothesis in that cell (Agresti, 2007). F</w:t>
      </w:r>
      <w:bookmarkEnd w:id="19"/>
      <w:r>
        <w:t xml:space="preserve">or convenience, the standardized residuals for conscientiousness were named </w:t>
      </w:r>
      <w:r>
        <w:rPr>
          <w:i/>
        </w:rPr>
        <w:t xml:space="preserve">Relative Conscientiousness Score </w:t>
      </w:r>
      <w:r>
        <w:t>(</w:t>
      </w:r>
      <w:r>
        <w:rPr>
          <w:i/>
        </w:rPr>
        <w:t>RCS</w:t>
      </w:r>
      <w:r>
        <w:t xml:space="preserve">; see Table 3): An RCS larger than three (vs. an RCS lower than </w:t>
      </w:r>
      <w:r>
        <w:lastRenderedPageBreak/>
        <w:t xml:space="preserve">three) indicates that a goal is elicited more often by adjectives related to conscientiousness (vs. unconscientiousness) than it would be expected if goal classes and conscientiousness poles were unrelated. An RCS score lower than three in absolute value indicates that the goal is not significantly associated with conscientious or unconscientious behavior. </w:t>
      </w:r>
      <w:bookmarkEnd w:id="21"/>
      <w:r>
        <w:t>Class 11 (“Personal Realization”) had the highest score and class 16 (“Avoid or manage things one does not care about”) had the lowest score. Class 18 (“Do not have repentance or remorse, do not miss opportunities”) had an RCS close to zero, meaning that this goal class was similarly associated with conscientious and to unconscientious behavior. This is arguably because participants, when referring to opportunities that they could miss, could think of very different things (e.g., opportunities for school success, for having fun, for job positions, for making friends etc.).</w:t>
      </w:r>
      <w:r w:rsidR="00EE0676" w:rsidRPr="00EE0676">
        <w:t xml:space="preserve"> </w:t>
      </w:r>
      <w:r w:rsidR="00EE0676">
        <w:t xml:space="preserve">Since the focus of our research program is </w:t>
      </w:r>
      <w:r w:rsidR="00512BC3">
        <w:t>o</w:t>
      </w:r>
      <w:r w:rsidR="00EE0676">
        <w:t>n increasing conscientiousness in individuals, our main interest is in goals associated to the positive pole of the trait:</w:t>
      </w:r>
      <w:r>
        <w:t xml:space="preserve"> Of the 26 classes, eleven were unambiguously associated with the positive pole of conscientiousness.</w:t>
      </w:r>
    </w:p>
    <w:p w14:paraId="0A9F1E5A" w14:textId="77777777" w:rsidR="00061155" w:rsidRDefault="00061155">
      <w:pPr>
        <w:pStyle w:val="ApaNormale"/>
      </w:pPr>
      <w:r>
        <w:rPr>
          <w:i/>
        </w:rPr>
        <w:t xml:space="preserve">Graphical representation of goals. </w:t>
      </w:r>
      <w:r>
        <w:t xml:space="preserve">To visualize the associations between conscientiousness facets, goal classes elicited in the first procedure, and goal classes elicited in the second procedure, we defined a network using a similar procedure as Bagozzi and colleagues (2003). This type of network is not a probabilistic graphical model </w:t>
      </w:r>
      <w:r w:rsidRPr="00FB206C">
        <w:rPr>
          <w:lang w:val="it-IT" w:eastAsia="it-IT"/>
        </w:rPr>
        <w:t>(Lauritzen, 1996), but a convenient visual representation of how frequently adjectives of a certain facet elicited goals of a certain class in the first goal-eliciting procedure and of how frequently goals of a certain class elicited goals of another class in the second goal-eliciting procedure.</w:t>
      </w:r>
      <w:r>
        <w:t xml:space="preserve"> If</w:t>
      </w:r>
      <w:r>
        <w:rPr>
          <w:szCs w:val="24"/>
        </w:rPr>
        <w:t xml:space="preserve"> a goal of a certain class A was indicated at least once in response to an adjective of a certain facet F (including general conscientiousness) in the first </w:t>
      </w:r>
      <w:r w:rsidRPr="00FB206C">
        <w:rPr>
          <w:lang w:val="it-IT" w:eastAsia="it-IT"/>
        </w:rPr>
        <w:t>goal-eliciting</w:t>
      </w:r>
      <w:r>
        <w:rPr>
          <w:szCs w:val="24"/>
        </w:rPr>
        <w:t xml:space="preserve"> procedure, we drew an edge from facet F to class A. If a goal of a certain class B was mentioned in response to the second </w:t>
      </w:r>
      <w:r w:rsidRPr="00FB206C">
        <w:rPr>
          <w:lang w:val="it-IT" w:eastAsia="it-IT"/>
        </w:rPr>
        <w:t>goal-eliciting</w:t>
      </w:r>
      <w:r>
        <w:rPr>
          <w:szCs w:val="24"/>
        </w:rPr>
        <w:t xml:space="preserve"> procedure relative to a goal of class A, we drew an edge from class A to class B. Edges were assigned a value (visualized by their width) representing the frequency with which a goal class was elicited by a facet or by a goal of another class. This resulted in the network visualized in Figure 1. We colored nodes according to RCS: </w:t>
      </w:r>
      <w:r>
        <w:rPr>
          <w:szCs w:val="24"/>
        </w:rPr>
        <w:lastRenderedPageBreak/>
        <w:t>Greener node represent goal classes mainly elicited by the positive pole of conscientiousness and red nodes represent goals classes elicited by the negative pole. A visual inspection of the network allows recognizing a cluster of conscientious goals and a cluster of unconscientious goals, with some goals that were not clearly connected to a specific pole of conscientiousness and to its facets.</w:t>
      </w:r>
    </w:p>
    <w:p w14:paraId="155C1DAB" w14:textId="77777777" w:rsidR="00061155" w:rsidRDefault="00061155">
      <w:pPr>
        <w:pStyle w:val="ApaNormale"/>
      </w:pPr>
      <w:r>
        <w:t xml:space="preserve">Since some of the procedures that could be implemented as part of Step 2 require participants to generate superordinate ends for a given goal, it was useful to identify goal classes that were too abstract, for which it would be very difficult to think of superordinate ends. If necessary, these abstract goals classes could be excluded from the experiments. </w:t>
      </w:r>
      <w:bookmarkStart w:id="22" w:name="_Hlk507070656"/>
      <w:bookmarkStart w:id="23" w:name="_Hlk506988946"/>
      <w:r>
        <w:t xml:space="preserve">We quantified abstractness following the procedure suggested by Bagozzi and colleagues </w:t>
      </w:r>
      <w:r w:rsidRPr="00FB206C">
        <w:rPr>
          <w:szCs w:val="24"/>
          <w:lang w:val="it-IT" w:eastAsia="it-IT"/>
        </w:rPr>
        <w:t>(Bagozzi et al., 2003)</w:t>
      </w:r>
      <w:r>
        <w:rPr>
          <w:szCs w:val="24"/>
        </w:rPr>
        <w:t xml:space="preserve">. We first computed how frequently goals of each class were elicited as end-states of other goals in the second </w:t>
      </w:r>
      <w:r w:rsidRPr="00FB206C">
        <w:rPr>
          <w:lang w:val="it-IT" w:eastAsia="it-IT"/>
        </w:rPr>
        <w:t>goal-eliciting</w:t>
      </w:r>
      <w:r>
        <w:rPr>
          <w:szCs w:val="24"/>
        </w:rPr>
        <w:t xml:space="preserve"> procedure. This value quantifies how much a goal class tends to include superordinate goals. Second, we computed how frequently goals of each class elicited other goals in the second </w:t>
      </w:r>
      <w:r w:rsidRPr="00FB206C">
        <w:rPr>
          <w:lang w:val="it-IT" w:eastAsia="it-IT"/>
        </w:rPr>
        <w:t>goal-eliciting</w:t>
      </w:r>
      <w:r>
        <w:rPr>
          <w:szCs w:val="24"/>
        </w:rPr>
        <w:t xml:space="preserve"> procedure. This value quantifies how much a goal class tends to elicit more superordinate goals. Abstractness was simply computed as the ratio between the first quantity to the sum of the two quantities </w:t>
      </w:r>
      <w:r w:rsidRPr="00FB206C">
        <w:rPr>
          <w:szCs w:val="24"/>
          <w:lang w:val="it-IT" w:eastAsia="it-IT"/>
        </w:rPr>
        <w:t>(Bagozzi et al., 2003)</w:t>
      </w:r>
      <w:r>
        <w:rPr>
          <w:szCs w:val="24"/>
        </w:rPr>
        <w:t xml:space="preserve">. </w:t>
      </w:r>
      <w:r>
        <w:t>This index, which varies between zero and one, measures how much a goal tends to be subordinate (a means to other higher goals) or superordinate (a goal of other goals)</w:t>
      </w:r>
      <w:bookmarkEnd w:id="22"/>
      <w:bookmarkEnd w:id="23"/>
      <w:r>
        <w:t xml:space="preserve">. The abstractness of each goal class is reported in Table 3. Of the eleven goal classes associated with conscientiousness according to RCS, only class 20 (“Be satisfied with yourself, have a good self-esteem”) had a very large abstractness score. </w:t>
      </w:r>
      <w:r>
        <w:rPr>
          <w:szCs w:val="24"/>
        </w:rPr>
        <w:t xml:space="preserve">In Figure 1, a black circle around a node indicate that the corresponding goal is both connected to the positive pole of conscientiousness according to the Relative Conscientiousness Score and not excessively abstract according to the abstractness index. </w:t>
      </w:r>
    </w:p>
    <w:p w14:paraId="09EADABA" w14:textId="5D7A04A1" w:rsidR="00061155" w:rsidRDefault="00061155">
      <w:pPr>
        <w:pStyle w:val="ApaNormale"/>
        <w:jc w:val="both"/>
      </w:pPr>
      <w:r>
        <w:t>Having available a set of goals associated specifically with the positive pole of conscientiousness (and disconnected from the negative pole) allows planning the experimental part of the implementation of Step 2. For instance, this may be organized with a manipulation of self-control mirroring the one developed by</w:t>
      </w:r>
      <w:r w:rsidR="00067B2C">
        <w:t xml:space="preserve"> Freitas and colleagues </w:t>
      </w:r>
      <w:r w:rsidR="00067B2C" w:rsidRPr="00FB206C">
        <w:rPr>
          <w:szCs w:val="24"/>
          <w:lang w:val="it-IT" w:eastAsia="it-IT"/>
        </w:rPr>
        <w:t xml:space="preserve">(Freitas, Gollwitzer, &amp; Trope, 2004; </w:t>
      </w:r>
      <w:r w:rsidR="00067B2C" w:rsidRPr="00ED1439">
        <w:rPr>
          <w:szCs w:val="24"/>
          <w:lang w:eastAsia="it-IT"/>
        </w:rPr>
        <w:lastRenderedPageBreak/>
        <w:t>se</w:t>
      </w:r>
      <w:r w:rsidR="00067B2C">
        <w:rPr>
          <w:szCs w:val="24"/>
          <w:lang w:eastAsia="it-IT"/>
        </w:rPr>
        <w:t xml:space="preserve">e also </w:t>
      </w:r>
      <w:r w:rsidR="00067B2C" w:rsidRPr="00FB206C">
        <w:rPr>
          <w:szCs w:val="24"/>
          <w:lang w:val="it-IT" w:eastAsia="it-IT"/>
        </w:rPr>
        <w:t>Fujita, 20</w:t>
      </w:r>
      <w:r w:rsidR="00067B2C" w:rsidRPr="00D40F56">
        <w:t>06</w:t>
      </w:r>
      <w:r w:rsidR="00067B2C" w:rsidRPr="00FB206C">
        <w:rPr>
          <w:szCs w:val="24"/>
          <w:lang w:val="it-IT" w:eastAsia="it-IT"/>
        </w:rPr>
        <w:t>)</w:t>
      </w:r>
      <w:r w:rsidR="00EE0676" w:rsidRPr="00ED1439">
        <w:rPr>
          <w:szCs w:val="24"/>
          <w:lang w:eastAsia="it-IT"/>
        </w:rPr>
        <w:t>, w</w:t>
      </w:r>
      <w:r w:rsidR="00EE0676">
        <w:rPr>
          <w:szCs w:val="24"/>
          <w:lang w:eastAsia="it-IT"/>
        </w:rPr>
        <w:t>hich requires to iteratively generat</w:t>
      </w:r>
      <w:r w:rsidR="00DB7D33">
        <w:rPr>
          <w:szCs w:val="24"/>
          <w:lang w:eastAsia="it-IT"/>
        </w:rPr>
        <w:t>e</w:t>
      </w:r>
      <w:r w:rsidR="00EE0676">
        <w:rPr>
          <w:szCs w:val="24"/>
          <w:lang w:eastAsia="it-IT"/>
        </w:rPr>
        <w:t xml:space="preserve"> superordinate motives for a goal</w:t>
      </w:r>
      <w:r w:rsidR="00067B2C">
        <w:t>,</w:t>
      </w:r>
      <w:r>
        <w:t xml:space="preserve"> but using goals more clearly connected to conscientiousness in Figure 1. </w:t>
      </w:r>
      <w:bookmarkStart w:id="24" w:name="_Hlk507070700"/>
      <w:bookmarkStart w:id="25" w:name="_Hlk507064205"/>
      <w:r>
        <w:t>One could also plan interventions that are more individualized, by allowing participants to choose, among conscientious goals, those that they feel most relevant to them, or by asking them to map out their own goal structure in relation to conscientiousness and by using these “idiosyncratic” goals as an alternative or as a complement to those identified here.</w:t>
      </w:r>
      <w:bookmarkEnd w:id="24"/>
      <w:r>
        <w:t xml:space="preserve"> </w:t>
      </w:r>
      <w:bookmarkEnd w:id="25"/>
      <w:r>
        <w:t>Alternative paradigms to manipulate self-control can also be imagined and implemented. Besides the specific details, the main point is that the second step requires a procedure that can successfully change self-control</w:t>
      </w:r>
      <w:r w:rsidR="001736F1">
        <w:t xml:space="preserve">. </w:t>
      </w:r>
      <w:r w:rsidR="00A25E01">
        <w:t>C</w:t>
      </w:r>
      <w:r w:rsidR="001736F1">
        <w:t>hange</w:t>
      </w:r>
      <w:r w:rsidR="00A25E01">
        <w:t>s in self-control</w:t>
      </w:r>
      <w:r w:rsidR="001736F1">
        <w:t xml:space="preserve"> can be detected by </w:t>
      </w:r>
      <w:r w:rsidR="00171EF4">
        <w:t>administering</w:t>
      </w:r>
      <w:r w:rsidR="00A25E01">
        <w:t xml:space="preserve"> of</w:t>
      </w:r>
      <w:r w:rsidR="001736F1">
        <w:t xml:space="preserve"> state self-report measures </w:t>
      </w:r>
      <w:r w:rsidR="00171EF4">
        <w:t xml:space="preserve">and </w:t>
      </w:r>
      <w:r w:rsidR="00A25E01">
        <w:t>self-control tasks (e.g., Eisenberg et al., 2018)</w:t>
      </w:r>
      <w:r>
        <w:t xml:space="preserve">. If successful, Step 2 would provide a first validation of the procedure. Additionally, one could examine whether the manipulation also affects state conscientiousness. However, to demonstrate that a manipulation can affect also trait conscientiousness, it is necessary to show that it can produce also a long-lasting change </w:t>
      </w:r>
      <w:r w:rsidRPr="00FB206C">
        <w:rPr>
          <w:lang w:val="it-IT" w:eastAsia="it-IT"/>
        </w:rPr>
        <w:t>(Roberts, Luo, et al., 2017)</w:t>
      </w:r>
      <w:r>
        <w:t>. This possibility will be examined in Step 3.</w:t>
      </w:r>
    </w:p>
    <w:p w14:paraId="11D5CE7D" w14:textId="77777777" w:rsidR="00061155" w:rsidRDefault="00061155">
      <w:pPr>
        <w:pStyle w:val="Titolo2"/>
      </w:pPr>
      <w:r>
        <w:t>Step 3. Deliver the manipulation repeatedly.</w:t>
      </w:r>
    </w:p>
    <w:p w14:paraId="2FC23D85" w14:textId="2726B78B" w:rsidR="00061155" w:rsidRDefault="00061155">
      <w:pPr>
        <w:pStyle w:val="ApaNormale"/>
      </w:pPr>
      <w:r>
        <w:t xml:space="preserve">The general idea of this step is that, if a one-shot manipulation can influence self-control and self-control is a core feature of conscientiousness, a prolonged manipulation could have a deeper influence on the equilibrium of the conscientiousness system, therefore leading to a change in the trait </w:t>
      </w:r>
      <w:r w:rsidRPr="00FB206C">
        <w:rPr>
          <w:lang w:val="it-IT" w:eastAsia="it-IT"/>
        </w:rPr>
        <w:t>(see also Wrzus &amp; Roberts, 2017)</w:t>
      </w:r>
      <w:r>
        <w:t xml:space="preserve">. For this purpose, the manipulation delivered in Step 2 could be administered in the form of an EMI </w:t>
      </w:r>
      <w:r w:rsidRPr="00FB206C">
        <w:rPr>
          <w:lang w:val="it-IT" w:eastAsia="it-IT"/>
        </w:rPr>
        <w:t>(Heron &amp; Smyth, 2010</w:t>
      </w:r>
      <w:r w:rsidR="009A22EB" w:rsidRPr="00ED1439">
        <w:rPr>
          <w:lang w:eastAsia="it-IT"/>
        </w:rPr>
        <w:t xml:space="preserve">; </w:t>
      </w:r>
      <w:r w:rsidR="009A22EB">
        <w:t>Sened et al., in press</w:t>
      </w:r>
      <w:r w:rsidRPr="00FB206C">
        <w:rPr>
          <w:lang w:val="it-IT" w:eastAsia="it-IT"/>
        </w:rPr>
        <w:t>)</w:t>
      </w:r>
      <w:r>
        <w:t>, for instance by presenting it once a day via smartphone. To avoid the task to be too repetitive, the manipulation could include a different goal each time is delivered, randomly selected among the set of goals associated with conscientiousness. To determine whether trait conscientiousness has been causally affected by the manipulation, it would be necessary to assess p</w:t>
      </w:r>
      <w:r>
        <w:rPr>
          <w:rFonts w:cs="Calibri"/>
          <w:color w:val="000000"/>
        </w:rPr>
        <w:t xml:space="preserve">articipants’ conscientiousness pre- and post-intervention and at subsequent follow-ups (e.g., for one year), </w:t>
      </w:r>
      <w:r>
        <w:t xml:space="preserve">but not during the manipulation to avoid reactivity effects </w:t>
      </w:r>
      <w:r w:rsidRPr="00FB206C">
        <w:rPr>
          <w:szCs w:val="24"/>
          <w:lang w:val="it-IT" w:eastAsia="it-IT"/>
        </w:rPr>
        <w:t>(French &amp; Sutton, 2010)</w:t>
      </w:r>
      <w:r>
        <w:rPr>
          <w:rFonts w:cs="Calibri"/>
          <w:color w:val="000000"/>
        </w:rPr>
        <w:t>.</w:t>
      </w:r>
      <w:r>
        <w:t xml:space="preserve"> This would allow inspecting </w:t>
      </w:r>
      <w:r>
        <w:lastRenderedPageBreak/>
        <w:t xml:space="preserve">whether the manipulation causally affected the trait and whether the effects were permanent or faded in time. If successful, our Step 3 could increase conscientiousness in participants. Although conscientiousness is known to be strongly associated with positive outcomes (e.g., Barrick &amp; Mount, 1991; Bogg &amp; Roberts, 2004; Friedman &amp; Kern, 2014; Poropat, 2009), this trait is also known to decrease after positive life events (e.g., marriage, birth of a child, retirement; Specht et al., 2011) and these decreases in conscientiousness could be adaptive for the individual. In sum, although increasing conscientiousness should produce beneficial effects in general, it may not be adaptive for all individuals in all situations. Therefore, access to the studies that we outlined in Steps 2 and 3 should probably be limited only to participants who are willing to increase their trait conscientiousness. Several studies have shown that most individuals would like to change aspects of their personality (Hudson &amp; Roberts, 2014), but that they are often unable to do it by themselves (e.g., individuals who want to increase their conscientiousness in time seem to end up becoming less conscientious one year later; O. C. Robinson, Noftle, Guo, Asadi, &amp; Zhang, 2015). </w:t>
      </w:r>
    </w:p>
    <w:p w14:paraId="49BEEE62" w14:textId="77777777" w:rsidR="00061155" w:rsidRDefault="00061155">
      <w:pPr>
        <w:pStyle w:val="Titolo1"/>
      </w:pPr>
      <w:r>
        <w:t>Conclusions</w:t>
      </w:r>
    </w:p>
    <w:p w14:paraId="3CCC01FD" w14:textId="77777777" w:rsidR="00061155" w:rsidRDefault="00061155">
      <w:pPr>
        <w:pStyle w:val="ApaNormale"/>
        <w:jc w:val="both"/>
      </w:pPr>
      <w:r>
        <w:rPr>
          <w:szCs w:val="24"/>
        </w:rPr>
        <w:t xml:space="preserve">In this manuscript, we have discussed how different theories of personality constrain the possibility to perform causal research: Not all personality theories are compatible with the idea that there could be alternative causal conditions that could change an individual’s level of a personality trait. We also presented causality from a network perspective and delineated a three-step strategy to test causality in personality. This strategy can constitute a fundamental test to empirically disentangle correspondence and emergence </w:t>
      </w:r>
      <w:r w:rsidRPr="00FB206C">
        <w:rPr>
          <w:szCs w:val="24"/>
          <w:lang w:val="it-IT" w:eastAsia="it-IT"/>
        </w:rPr>
        <w:t>(Baumert et al., 2017</w:t>
      </w:r>
      <w:bookmarkStart w:id="26" w:name="_Hlk507060423"/>
      <w:r w:rsidRPr="00FB206C">
        <w:rPr>
          <w:szCs w:val="24"/>
          <w:lang w:val="it-IT" w:eastAsia="it-IT"/>
        </w:rPr>
        <w:t>)</w:t>
      </w:r>
      <w:r>
        <w:rPr>
          <w:szCs w:val="24"/>
        </w:rPr>
        <w:t xml:space="preserve">. </w:t>
      </w:r>
      <w:bookmarkStart w:id="27" w:name="_Hlk507070776"/>
      <w:r>
        <w:rPr>
          <w:szCs w:val="24"/>
        </w:rPr>
        <w:t xml:space="preserve">If manipulations to change a certain trait’s levels could be developed in a replicable way, the correspondence assumption could not be considered valid for that trait. Initial evidence in favor of this fascinating possibility came recently from several studies that manipulated personality, without this being their main focus </w:t>
      </w:r>
      <w:r w:rsidRPr="00FB206C">
        <w:rPr>
          <w:szCs w:val="24"/>
          <w:lang w:val="it-IT" w:eastAsia="it-IT"/>
        </w:rPr>
        <w:t>(Roberts, Luo, et al., 2017)</w:t>
      </w:r>
      <w:r>
        <w:rPr>
          <w:szCs w:val="24"/>
        </w:rPr>
        <w:t xml:space="preserve">. However, if attempts to change a trait failed systematically, this could corroborate the idea that traits may reflect the effect of unobservable latent variables </w:t>
      </w:r>
      <w:r w:rsidRPr="00FB206C">
        <w:rPr>
          <w:szCs w:val="24"/>
          <w:lang w:val="it-IT" w:eastAsia="it-IT"/>
        </w:rPr>
        <w:t xml:space="preserve">(Borsboom, Mellenbergh, &amp; van Heerden, </w:t>
      </w:r>
      <w:r w:rsidRPr="00FB206C">
        <w:rPr>
          <w:szCs w:val="24"/>
          <w:lang w:val="it-IT" w:eastAsia="it-IT"/>
        </w:rPr>
        <w:lastRenderedPageBreak/>
        <w:t>2004; McCrae &amp; Sutin, 2018)</w:t>
      </w:r>
      <w:r>
        <w:rPr>
          <w:szCs w:val="24"/>
        </w:rPr>
        <w:t>.</w:t>
      </w:r>
      <w:bookmarkEnd w:id="26"/>
      <w:r>
        <w:rPr>
          <w:szCs w:val="24"/>
        </w:rPr>
        <w:t xml:space="preserve"> </w:t>
      </w:r>
      <w:bookmarkEnd w:id="27"/>
      <w:r>
        <w:rPr>
          <w:szCs w:val="24"/>
        </w:rPr>
        <w:t xml:space="preserve">Of course, even though research showed that it is possible to change a personality trait, this would not imply that biological factors do not play a role, or that they cannot be used to reveal interesting properties of traits </w:t>
      </w:r>
      <w:r w:rsidRPr="00FB206C">
        <w:rPr>
          <w:szCs w:val="24"/>
          <w:lang w:val="it-IT" w:eastAsia="it-IT"/>
        </w:rPr>
        <w:t>(e.g., Hou et al., 2017)</w:t>
      </w:r>
      <w:r>
        <w:rPr>
          <w:szCs w:val="24"/>
        </w:rPr>
        <w:t xml:space="preserve">. It is also possible that some traits could be better understood as networks and that others may reflect more the effect of biological (latent) variables </w:t>
      </w:r>
      <w:r w:rsidRPr="00FB206C">
        <w:rPr>
          <w:szCs w:val="24"/>
          <w:lang w:val="it-IT" w:eastAsia="it-IT"/>
        </w:rPr>
        <w:t>(Mõttus &amp; Allerhand, in press)</w:t>
      </w:r>
      <w:r>
        <w:rPr>
          <w:szCs w:val="24"/>
        </w:rPr>
        <w:t xml:space="preserve">, and that their dynamics could be better understood through neuroscientific techniques </w:t>
      </w:r>
      <w:r w:rsidRPr="00FB206C">
        <w:rPr>
          <w:szCs w:val="24"/>
          <w:lang w:val="it-IT" w:eastAsia="it-IT"/>
        </w:rPr>
        <w:t>(Allen &amp; DeYoung, 2016)</w:t>
      </w:r>
      <w:r>
        <w:rPr>
          <w:szCs w:val="24"/>
        </w:rPr>
        <w:t>. However, since environmental conditions are usually easier to affect than biological ones, knowledge of which conditions can causally affect traits would offer researchers a fundamental tool for causal explanatory research in personality, therefore we think that the strategy that we have delineated here is a route worth taking.</w:t>
      </w:r>
    </w:p>
    <w:p w14:paraId="79751F53" w14:textId="77777777" w:rsidR="00061155" w:rsidRDefault="00061155">
      <w:pPr>
        <w:pStyle w:val="ApaNormale"/>
        <w:jc w:val="both"/>
      </w:pPr>
      <w:r>
        <w:rPr>
          <w:szCs w:val="24"/>
        </w:rPr>
        <w:t xml:space="preserve">Once a link is established as causal, there are numerous possibilities to further deepen the relationship between the cause and the trait, several possible “fourth steps” could be explored. One possibility to expand our framework could be inspecting whether the experimental conditions match situations that can be found in natural contexts. If so, one could investigate whether situation selection can in turn account for the fact that participants with certain personality characteristics tend to expose themselves to these situations more often. This could be considered a case of downward causation </w:t>
      </w:r>
      <w:r w:rsidRPr="00FB206C">
        <w:rPr>
          <w:szCs w:val="24"/>
          <w:lang w:val="it-IT" w:eastAsia="it-IT"/>
        </w:rPr>
        <w:t>(Bedau, 2008a)</w:t>
      </w:r>
      <w:r>
        <w:rPr>
          <w:szCs w:val="24"/>
        </w:rPr>
        <w:t xml:space="preserve">, in which the emergent phenomenon, the trait, influences its underlying constituents and generates a self-reinforcing equilibrium between the person and the situation </w:t>
      </w:r>
      <w:r w:rsidRPr="00FB206C">
        <w:rPr>
          <w:szCs w:val="24"/>
          <w:lang w:val="it-IT" w:eastAsia="it-IT"/>
        </w:rPr>
        <w:t>(Cramer et al., 2012)</w:t>
      </w:r>
      <w:r>
        <w:rPr>
          <w:szCs w:val="24"/>
        </w:rPr>
        <w:t>.</w:t>
      </w:r>
    </w:p>
    <w:p w14:paraId="1D3F99E2" w14:textId="77777777" w:rsidR="00061155" w:rsidRDefault="00061155">
      <w:pPr>
        <w:pStyle w:val="ApaNormale"/>
        <w:jc w:val="both"/>
      </w:pPr>
      <w:bookmarkStart w:id="28" w:name="_Hlk507060623"/>
      <w:bookmarkStart w:id="29" w:name="_Hlk507070853"/>
      <w:r>
        <w:rPr>
          <w:szCs w:val="24"/>
        </w:rPr>
        <w:t xml:space="preserve">An additional possibility to expand our framework could be to inspect the effects of the personality manipulation on outcomes that are considered most relevant for the trait. </w:t>
      </w:r>
      <w:bookmarkStart w:id="30" w:name="_Hlk507060612"/>
      <w:bookmarkEnd w:id="28"/>
      <w:r>
        <w:rPr>
          <w:szCs w:val="24"/>
        </w:rPr>
        <w:t xml:space="preserve">Establishing causal connections between personality traits and their outcomes could be easier if a procedure to manipulate traits is available </w:t>
      </w:r>
      <w:r w:rsidRPr="00FB206C">
        <w:rPr>
          <w:szCs w:val="24"/>
          <w:lang w:val="it-IT" w:eastAsia="it-IT"/>
        </w:rPr>
        <w:t>(Mõttus, 2016)</w:t>
      </w:r>
      <w:r>
        <w:rPr>
          <w:szCs w:val="24"/>
        </w:rPr>
        <w:t>.</w:t>
      </w:r>
      <w:bookmarkStart w:id="31" w:name="_Hlk507060977"/>
      <w:bookmarkEnd w:id="30"/>
      <w:r>
        <w:rPr>
          <w:szCs w:val="24"/>
        </w:rPr>
        <w:t xml:space="preserve"> However, one could always object that personality traits are attributes without causal relevance </w:t>
      </w:r>
      <w:r w:rsidRPr="00FB206C">
        <w:rPr>
          <w:szCs w:val="24"/>
          <w:lang w:val="it-IT" w:eastAsia="it-IT"/>
        </w:rPr>
        <w:t>(Freese, 2016)</w:t>
      </w:r>
      <w:r>
        <w:rPr>
          <w:szCs w:val="24"/>
        </w:rPr>
        <w:t xml:space="preserve">, tools for prediction but not for explanation </w:t>
      </w:r>
      <w:r w:rsidRPr="00FB206C">
        <w:rPr>
          <w:szCs w:val="24"/>
          <w:lang w:val="it-IT" w:eastAsia="it-IT"/>
        </w:rPr>
        <w:t>(Hogan &amp; Foster, 2016)</w:t>
      </w:r>
      <w:r>
        <w:rPr>
          <w:szCs w:val="24"/>
        </w:rPr>
        <w:t xml:space="preserve">. Therefore, another possible fourth step to disentangle these possibilities could involve inspecting whether the causal effects of experimental conditions on trait-relevant outcomes are mediated by changes in personality traits, or whether the causal conditions affect </w:t>
      </w:r>
      <w:r>
        <w:rPr>
          <w:szCs w:val="24"/>
        </w:rPr>
        <w:lastRenderedPageBreak/>
        <w:t xml:space="preserve">outcomes independent of traits </w:t>
      </w:r>
      <w:r w:rsidRPr="00FB206C">
        <w:rPr>
          <w:szCs w:val="24"/>
          <w:lang w:val="it-IT" w:eastAsia="it-IT"/>
        </w:rPr>
        <w:t>(Pearl, 2014)</w:t>
      </w:r>
      <w:r>
        <w:rPr>
          <w:szCs w:val="24"/>
        </w:rPr>
        <w:t>. Only in the first case one can conclude that personality traits play a unique causal role.</w:t>
      </w:r>
      <w:bookmarkEnd w:id="31"/>
    </w:p>
    <w:p w14:paraId="2BFF27C7" w14:textId="77777777" w:rsidR="00061155" w:rsidRDefault="00061155">
      <w:pPr>
        <w:pStyle w:val="ApaNormale"/>
        <w:jc w:val="both"/>
      </w:pPr>
      <w:bookmarkStart w:id="32" w:name="_Hlk507063519"/>
      <w:bookmarkEnd w:id="29"/>
      <w:r>
        <w:rPr>
          <w:szCs w:val="24"/>
        </w:rPr>
        <w:t>Yet another interesting possibility would be to inspect the effects of an experimental manipulation on several nodes in the network. If network connections reflect genuine causal interactions directed from the manipulated target node to the other nodes of the network, the effects of the manipulation should propagate through the network consistent with the strength of the connections. If this does not happen for certain nodes and connections, it would support the possibility those connections reflect other types of causal connections (e.g., genuine causal connections, but in the opposite direction of that hypothesized, or the effect of latent variables; Epskamp, Waldorp et al., 2017). These possibilities could be further disambiguated by performing subsequent experimental studies, until a sufficient knowledge of the network is gathered.</w:t>
      </w:r>
    </w:p>
    <w:bookmarkEnd w:id="32"/>
    <w:p w14:paraId="76A5CB5E" w14:textId="77777777" w:rsidR="00061155" w:rsidRDefault="00061155">
      <w:pPr>
        <w:pStyle w:val="ApaNormale"/>
        <w:jc w:val="both"/>
        <w:rPr>
          <w:szCs w:val="24"/>
        </w:rPr>
      </w:pPr>
      <w:r>
        <w:rPr>
          <w:szCs w:val="24"/>
        </w:rPr>
        <w:t xml:space="preserve">After being neglected for a long time, the possibility of causal research in personality is now a matter of discussion </w:t>
      </w:r>
      <w:r w:rsidRPr="00FB206C">
        <w:rPr>
          <w:szCs w:val="24"/>
          <w:lang w:val="it-IT" w:eastAsia="it-IT"/>
        </w:rPr>
        <w:t>(Baumert et al., 2017; McCabe &amp; Fleeson, 2012; Mõttus, 2016; Roberts, Hill, et al., 2017; Wood et al., 2015)</w:t>
      </w:r>
      <w:r>
        <w:rPr>
          <w:szCs w:val="24"/>
        </w:rPr>
        <w:t>. The starting blocks for causal research (e.g., network analysis, in-lab experimental designs, and ecological momentary interventions) have been already developed and used in isolation, but their combination into a unified framework could be key for understanding and testing the causal mechanisms underlying personality traits.</w:t>
      </w:r>
    </w:p>
    <w:p w14:paraId="5177B954" w14:textId="77777777" w:rsidR="00A25E01" w:rsidRDefault="00A25E01" w:rsidP="00A25E01">
      <w:pPr>
        <w:pStyle w:val="ApaNormale"/>
      </w:pPr>
      <w:r>
        <w:t xml:space="preserve">The three-step strategy that we have sketched is admittedly complex, each step requiring several studies and large efforts, only to inspect possible causal relationships implied by a limited part of the network, without any a priori guarantee of success: We are only at the beginning of the long journey that we have delineated. Once a correspondence assumption is dropped in favor of a view based on networks and emergence, once prediction is dropped in favor of a deeper analysis of causality from a counterfactual perspective in personality, we are immediately faced with the fact that personality is more complex than we used to believe </w:t>
      </w:r>
      <w:r w:rsidRPr="00FB206C">
        <w:rPr>
          <w:lang w:val="it-IT" w:eastAsia="it-IT"/>
        </w:rPr>
        <w:t>(e.g., Baumert et al., 2017; Mõttus, 2016)</w:t>
      </w:r>
      <w:r>
        <w:t xml:space="preserve">. If we want to be serious about providing explanations in personality, we need to tackle complexity. As we have shown, networks offer theoretical and methodological tools that allow examining a </w:t>
      </w:r>
      <w:r>
        <w:lastRenderedPageBreak/>
        <w:t>complex phenomenon such as a personality trait, in interaction with other phenomena, while still being able to identify regularities in the structure that can provide a useful map to gather further knowledge about it through experiments.</w:t>
      </w:r>
    </w:p>
    <w:p w14:paraId="790D9FCF" w14:textId="77777777" w:rsidR="00A25E01" w:rsidRDefault="00A25E01">
      <w:pPr>
        <w:pStyle w:val="ApaNormale"/>
        <w:jc w:val="both"/>
      </w:pPr>
    </w:p>
    <w:p w14:paraId="1AB8AF4E" w14:textId="77777777" w:rsidR="00061155" w:rsidRDefault="00061155">
      <w:pPr>
        <w:pageBreakBefore/>
        <w:spacing w:after="200" w:line="276" w:lineRule="auto"/>
        <w:ind w:firstLine="0"/>
        <w:rPr>
          <w:rFonts w:ascii="Times New Roman" w:hAnsi="Times New Roman"/>
          <w:sz w:val="24"/>
          <w:szCs w:val="24"/>
        </w:rPr>
      </w:pPr>
    </w:p>
    <w:p w14:paraId="3A29F46A" w14:textId="77777777" w:rsidR="00061155" w:rsidRDefault="00061155">
      <w:pPr>
        <w:pStyle w:val="Titolo1"/>
      </w:pPr>
      <w:r>
        <w:rPr>
          <w:szCs w:val="24"/>
        </w:rPr>
        <w:t>References</w:t>
      </w:r>
    </w:p>
    <w:p w14:paraId="76925F5F"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Agresti, A. (2007). </w:t>
      </w:r>
      <w:r w:rsidRPr="00FB206C">
        <w:rPr>
          <w:rFonts w:ascii="Times New Roman" w:hAnsi="Times New Roman"/>
          <w:i/>
          <w:sz w:val="24"/>
          <w:szCs w:val="24"/>
          <w:lang w:val="it-IT" w:eastAsia="it-IT"/>
        </w:rPr>
        <w:t xml:space="preserve">An introduction to categorical data analysis. </w:t>
      </w:r>
      <w:r w:rsidRPr="00FB206C">
        <w:rPr>
          <w:rFonts w:ascii="Times New Roman" w:hAnsi="Times New Roman"/>
          <w:sz w:val="24"/>
          <w:szCs w:val="24"/>
          <w:lang w:val="it-IT" w:eastAsia="it-IT"/>
        </w:rPr>
        <w:t>Hoboken, NJ: John Wiley &amp; Sons.</w:t>
      </w:r>
    </w:p>
    <w:p w14:paraId="6861A9AF"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Allen, T. A., &amp; DeYoung, C. G. (2016). Personality neuroscience and the Five Factor Model. In T. A. Widiger (Ed.), </w:t>
      </w:r>
      <w:r w:rsidRPr="00FB206C">
        <w:rPr>
          <w:rFonts w:ascii="Times New Roman" w:hAnsi="Times New Roman"/>
          <w:i/>
          <w:iCs/>
          <w:sz w:val="24"/>
          <w:szCs w:val="24"/>
          <w:lang w:val="it-IT" w:eastAsia="it-IT"/>
        </w:rPr>
        <w:t>The Oxford handbook of the Five Factor Model</w:t>
      </w:r>
      <w:r w:rsidRPr="00FB206C">
        <w:rPr>
          <w:rFonts w:ascii="Times New Roman" w:hAnsi="Times New Roman"/>
          <w:sz w:val="24"/>
          <w:szCs w:val="24"/>
          <w:lang w:val="it-IT" w:eastAsia="it-IT"/>
        </w:rPr>
        <w:t xml:space="preserve"> (pp. 1–62). Oxford University Press. https://doi.org/10.1093/oxfordhb/9780199352487.013.26</w:t>
      </w:r>
    </w:p>
    <w:p w14:paraId="05B78741"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Allport, G. (1937). </w:t>
      </w:r>
      <w:r w:rsidRPr="00FB206C">
        <w:rPr>
          <w:rFonts w:ascii="Times New Roman" w:hAnsi="Times New Roman"/>
          <w:i/>
          <w:iCs/>
          <w:sz w:val="24"/>
          <w:szCs w:val="24"/>
          <w:lang w:val="it-IT" w:eastAsia="it-IT"/>
        </w:rPr>
        <w:t>Personality: a psychological interpretation</w:t>
      </w:r>
      <w:r w:rsidRPr="00FB206C">
        <w:rPr>
          <w:rFonts w:ascii="Times New Roman" w:hAnsi="Times New Roman"/>
          <w:sz w:val="24"/>
          <w:szCs w:val="24"/>
          <w:lang w:val="it-IT" w:eastAsia="it-IT"/>
        </w:rPr>
        <w:t>. New York: Henry Holt &amp; Co.</w:t>
      </w:r>
    </w:p>
    <w:p w14:paraId="6CCC7292"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Antonakis, J., Bendahan, S., Jacquart, P., &amp; Lalive, R. (2010). On making causal claims: A review and recommendations. </w:t>
      </w:r>
      <w:r w:rsidRPr="00FB206C">
        <w:rPr>
          <w:rFonts w:ascii="Times New Roman" w:hAnsi="Times New Roman"/>
          <w:i/>
          <w:iCs/>
          <w:sz w:val="24"/>
          <w:szCs w:val="24"/>
          <w:lang w:val="it-IT" w:eastAsia="it-IT"/>
        </w:rPr>
        <w:t>The Leadership Quarterly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21</w:t>
      </w:r>
      <w:r w:rsidRPr="00FB206C">
        <w:rPr>
          <w:rFonts w:ascii="Times New Roman" w:hAnsi="Times New Roman"/>
          <w:sz w:val="24"/>
          <w:szCs w:val="24"/>
          <w:lang w:val="it-IT" w:eastAsia="it-IT"/>
        </w:rPr>
        <w:t>(6), 1086–1120. https://doi.org/10.1016/j.leaqua.2010.10.010</w:t>
      </w:r>
    </w:p>
    <w:p w14:paraId="7A544073"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Ashton, M. C., &amp; Lee, K. (2009). The HEXACO-60: A short measure of the major dimensions of personality. </w:t>
      </w:r>
      <w:r w:rsidRPr="00FB206C">
        <w:rPr>
          <w:rFonts w:ascii="Times New Roman" w:hAnsi="Times New Roman"/>
          <w:i/>
          <w:iCs/>
          <w:sz w:val="24"/>
          <w:szCs w:val="24"/>
          <w:lang w:val="it-IT" w:eastAsia="it-IT"/>
        </w:rPr>
        <w:t>Journal of Personality Assessment</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91</w:t>
      </w:r>
      <w:r w:rsidRPr="00FB206C">
        <w:rPr>
          <w:rFonts w:ascii="Times New Roman" w:hAnsi="Times New Roman"/>
          <w:sz w:val="24"/>
          <w:szCs w:val="24"/>
          <w:lang w:val="it-IT" w:eastAsia="it-IT"/>
        </w:rPr>
        <w:t>(4), 340–345. https://doi.org/10.1080/00223890902935878</w:t>
      </w:r>
    </w:p>
    <w:p w14:paraId="0D396DE6"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Ashton, M. C., Lee, K., Perugini, M., Szarota, P., de Vries, R. E., Di Blas, L., … De Raad, B. (2004). A six-factor structure of personality-descriptive adjectives: Solutions from psycholexical studies in seven languages. </w:t>
      </w:r>
      <w:r w:rsidRPr="00FB206C">
        <w:rPr>
          <w:rFonts w:ascii="Times New Roman" w:hAnsi="Times New Roman"/>
          <w:i/>
          <w:iCs/>
          <w:sz w:val="24"/>
          <w:szCs w:val="24"/>
          <w:lang w:val="it-IT" w:eastAsia="it-IT"/>
        </w:rPr>
        <w:t>Journal of Personality and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86</w:t>
      </w:r>
      <w:r w:rsidRPr="00FB206C">
        <w:rPr>
          <w:rFonts w:ascii="Times New Roman" w:hAnsi="Times New Roman"/>
          <w:sz w:val="24"/>
          <w:szCs w:val="24"/>
          <w:lang w:val="it-IT" w:eastAsia="it-IT"/>
        </w:rPr>
        <w:t>(2), 356–366. https://doi.org/10.1037/0022-3514.86.2.356</w:t>
      </w:r>
    </w:p>
    <w:p w14:paraId="6F39B63E"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Bagozzi, R. P., Bergami, M., &amp; Leone, L. (2003). Hierarchical representation of motives in goal setting. </w:t>
      </w:r>
      <w:r w:rsidRPr="00FB206C">
        <w:rPr>
          <w:rFonts w:ascii="Times New Roman" w:hAnsi="Times New Roman"/>
          <w:i/>
          <w:iCs/>
          <w:sz w:val="24"/>
          <w:szCs w:val="24"/>
          <w:lang w:val="it-IT" w:eastAsia="it-IT"/>
        </w:rPr>
        <w:t>The Journal of Applied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88</w:t>
      </w:r>
      <w:r w:rsidRPr="00FB206C">
        <w:rPr>
          <w:rFonts w:ascii="Times New Roman" w:hAnsi="Times New Roman"/>
          <w:sz w:val="24"/>
          <w:szCs w:val="24"/>
          <w:lang w:val="it-IT" w:eastAsia="it-IT"/>
        </w:rPr>
        <w:t>(5), 915–943. https://doi.org/10.1037/0021-9010.88.5.915</w:t>
      </w:r>
    </w:p>
    <w:p w14:paraId="14115061"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Barrick, M. R., &amp; Mount, M. K. (1991). The Big Five personality dimensions and job performance: a meta-analysis. </w:t>
      </w:r>
      <w:r w:rsidRPr="00FB206C">
        <w:rPr>
          <w:rFonts w:ascii="Times New Roman" w:hAnsi="Times New Roman"/>
          <w:i/>
          <w:iCs/>
          <w:sz w:val="24"/>
          <w:szCs w:val="24"/>
          <w:lang w:val="it-IT" w:eastAsia="it-IT"/>
        </w:rPr>
        <w:t>Personnel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44</w:t>
      </w:r>
      <w:r w:rsidRPr="00FB206C">
        <w:rPr>
          <w:rFonts w:ascii="Times New Roman" w:hAnsi="Times New Roman"/>
          <w:sz w:val="24"/>
          <w:szCs w:val="24"/>
          <w:lang w:val="it-IT" w:eastAsia="it-IT"/>
        </w:rPr>
        <w:t>(1), 1–26. https://doi.org/10.1111/j.1744-6570.1991.tb00688.x</w:t>
      </w:r>
    </w:p>
    <w:p w14:paraId="7745436B"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Baumeister, R. F., Bratslavsky, E., Muraven, M., &amp; Tice, D. M. (1998). Ego depletion: Is the active self a limited resource? </w:t>
      </w:r>
      <w:r w:rsidRPr="00FB206C">
        <w:rPr>
          <w:rFonts w:ascii="Times New Roman" w:hAnsi="Times New Roman"/>
          <w:i/>
          <w:iCs/>
          <w:sz w:val="24"/>
          <w:szCs w:val="24"/>
          <w:lang w:val="it-IT" w:eastAsia="it-IT"/>
        </w:rPr>
        <w:t>Journal of Personality and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74</w:t>
      </w:r>
      <w:r w:rsidRPr="00FB206C">
        <w:rPr>
          <w:rFonts w:ascii="Times New Roman" w:hAnsi="Times New Roman"/>
          <w:sz w:val="24"/>
          <w:szCs w:val="24"/>
          <w:lang w:val="it-IT" w:eastAsia="it-IT"/>
        </w:rPr>
        <w:t xml:space="preserve">(5), 1252–1265. </w:t>
      </w:r>
      <w:r w:rsidRPr="00FB206C">
        <w:rPr>
          <w:rFonts w:ascii="Times New Roman" w:hAnsi="Times New Roman"/>
          <w:sz w:val="24"/>
          <w:szCs w:val="24"/>
          <w:lang w:val="it-IT" w:eastAsia="it-IT"/>
        </w:rPr>
        <w:lastRenderedPageBreak/>
        <w:t>https://doi.org/10.1037//0022-3514.74.3.774</w:t>
      </w:r>
    </w:p>
    <w:p w14:paraId="37386A31"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Baumert, A., Schmitt, M., Perugini, M., Johnson, W., Blum, G., Borkenau, P., … Wrzus, C. (2017). Integrating personality structure, personality process, and personality development. </w:t>
      </w:r>
      <w:r w:rsidRPr="00FB206C">
        <w:rPr>
          <w:rFonts w:ascii="Times New Roman" w:hAnsi="Times New Roman"/>
          <w:i/>
          <w:iCs/>
          <w:sz w:val="24"/>
          <w:szCs w:val="24"/>
          <w:lang w:val="it-IT" w:eastAsia="it-IT"/>
        </w:rPr>
        <w:t>European Journal of Personality, 31</w:t>
      </w:r>
      <w:r w:rsidRPr="00FB206C">
        <w:rPr>
          <w:rFonts w:ascii="Times New Roman" w:hAnsi="Times New Roman"/>
          <w:iCs/>
          <w:sz w:val="24"/>
          <w:szCs w:val="24"/>
          <w:lang w:val="it-IT" w:eastAsia="it-IT"/>
        </w:rPr>
        <w:t>(5), 503-528</w:t>
      </w:r>
      <w:r w:rsidRPr="00FB206C">
        <w:rPr>
          <w:rFonts w:ascii="Times New Roman" w:hAnsi="Times New Roman"/>
          <w:sz w:val="24"/>
          <w:szCs w:val="24"/>
          <w:lang w:val="it-IT" w:eastAsia="it-IT"/>
        </w:rPr>
        <w:t xml:space="preserve">. </w:t>
      </w:r>
      <w:hyperlink r:id="rId10" w:history="1">
        <w:r w:rsidRPr="00FB206C">
          <w:rPr>
            <w:rStyle w:val="Collegamentoipertestuale"/>
            <w:rFonts w:ascii="Times New Roman" w:hAnsi="Times New Roman"/>
            <w:sz w:val="24"/>
            <w:szCs w:val="24"/>
            <w:lang w:val="it-IT" w:eastAsia="it-IT"/>
          </w:rPr>
          <w:t>https://doi.org/10.1002/per.2115</w:t>
        </w:r>
      </w:hyperlink>
      <w:r w:rsidRPr="00FB206C">
        <w:rPr>
          <w:rFonts w:ascii="Times New Roman" w:hAnsi="Times New Roman"/>
          <w:sz w:val="24"/>
          <w:szCs w:val="24"/>
          <w:lang w:val="it-IT" w:eastAsia="it-IT"/>
        </w:rPr>
        <w:t xml:space="preserve"> </w:t>
      </w:r>
    </w:p>
    <w:p w14:paraId="0A4E9945"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Beames, J. R., Schofield, T. P., &amp; Denson, T. F. (2017). A Meta-analysis of improving self-control with practice Joanne. In D. T. de Ridder, M. Adriaanse, &amp; K. Fujita (Eds.), </w:t>
      </w:r>
      <w:r w:rsidRPr="00FB206C">
        <w:rPr>
          <w:rFonts w:ascii="Times New Roman" w:hAnsi="Times New Roman"/>
          <w:i/>
          <w:iCs/>
          <w:sz w:val="24"/>
          <w:szCs w:val="24"/>
          <w:lang w:val="it-IT" w:eastAsia="it-IT"/>
        </w:rPr>
        <w:t xml:space="preserve">Handbook of self-control in health and well-being </w:t>
      </w:r>
      <w:r w:rsidRPr="00FB206C">
        <w:rPr>
          <w:rFonts w:ascii="Times New Roman" w:hAnsi="Times New Roman"/>
          <w:iCs/>
          <w:sz w:val="24"/>
          <w:szCs w:val="24"/>
          <w:lang w:val="it-IT" w:eastAsia="it-IT"/>
        </w:rPr>
        <w:t>(pp. 405-417)</w:t>
      </w:r>
      <w:r w:rsidRPr="00FB206C">
        <w:rPr>
          <w:rFonts w:ascii="Times New Roman" w:hAnsi="Times New Roman"/>
          <w:sz w:val="24"/>
          <w:szCs w:val="24"/>
          <w:lang w:val="it-IT" w:eastAsia="it-IT"/>
        </w:rPr>
        <w:t>. Abingdon, UK: Routledge.</w:t>
      </w:r>
    </w:p>
    <w:p w14:paraId="045A99C7"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Bedau, M. A. (2008a). Downward causation and autonomy in weak emergence. In M. A. Bedau &amp; P. Humphreys (Eds.), </w:t>
      </w:r>
      <w:r w:rsidRPr="00FB206C">
        <w:rPr>
          <w:rFonts w:ascii="Times New Roman" w:hAnsi="Times New Roman"/>
          <w:i/>
          <w:iCs/>
          <w:sz w:val="24"/>
          <w:szCs w:val="24"/>
          <w:lang w:val="it-IT" w:eastAsia="it-IT"/>
        </w:rPr>
        <w:t>Emergence: Contemporary readings in philosophy and science</w:t>
      </w:r>
      <w:r w:rsidRPr="00FB206C">
        <w:rPr>
          <w:rFonts w:ascii="Times New Roman" w:hAnsi="Times New Roman"/>
          <w:sz w:val="24"/>
          <w:szCs w:val="24"/>
          <w:lang w:val="it-IT" w:eastAsia="it-IT"/>
        </w:rPr>
        <w:t xml:space="preserve"> (pp. 155–188). Cambridge: The MIT Press. https://doi.org/10.7551/mitpress/9780262026215.003.0010</w:t>
      </w:r>
    </w:p>
    <w:p w14:paraId="22CA1321" w14:textId="77777777" w:rsidR="00061155" w:rsidRDefault="00061155">
      <w:pPr>
        <w:widowControl w:val="0"/>
        <w:autoSpaceDE w:val="0"/>
        <w:spacing w:line="480" w:lineRule="auto"/>
        <w:ind w:left="480" w:hanging="480"/>
        <w:rPr>
          <w:rFonts w:ascii="Times New Roman" w:eastAsia="Times New Roman" w:hAnsi="Times New Roman"/>
          <w:sz w:val="24"/>
          <w:szCs w:val="24"/>
          <w:lang w:eastAsia="it-IT"/>
        </w:rPr>
      </w:pPr>
      <w:r w:rsidRPr="00FB206C">
        <w:rPr>
          <w:rFonts w:ascii="Times New Roman" w:hAnsi="Times New Roman"/>
          <w:sz w:val="24"/>
          <w:szCs w:val="24"/>
          <w:lang w:val="it-IT" w:eastAsia="it-IT"/>
        </w:rPr>
        <w:t xml:space="preserve">Bedau, M. A. (2008b). Is weak emergence just in the mind? </w:t>
      </w:r>
      <w:r w:rsidRPr="00FB206C">
        <w:rPr>
          <w:rFonts w:ascii="Times New Roman" w:hAnsi="Times New Roman"/>
          <w:i/>
          <w:iCs/>
          <w:sz w:val="24"/>
          <w:szCs w:val="24"/>
          <w:lang w:val="it-IT" w:eastAsia="it-IT"/>
        </w:rPr>
        <w:t>Minds and Machines</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18</w:t>
      </w:r>
      <w:r w:rsidRPr="00FB206C">
        <w:rPr>
          <w:rFonts w:ascii="Times New Roman" w:hAnsi="Times New Roman"/>
          <w:sz w:val="24"/>
          <w:szCs w:val="24"/>
          <w:lang w:val="it-IT" w:eastAsia="it-IT"/>
        </w:rPr>
        <w:t xml:space="preserve">(4), 443–459. </w:t>
      </w:r>
      <w:hyperlink r:id="rId11" w:history="1">
        <w:r w:rsidRPr="00FB206C">
          <w:rPr>
            <w:rStyle w:val="Collegamentoipertestuale"/>
            <w:rFonts w:ascii="Times New Roman" w:hAnsi="Times New Roman"/>
            <w:sz w:val="24"/>
            <w:szCs w:val="24"/>
            <w:lang w:val="it-IT" w:eastAsia="it-IT"/>
          </w:rPr>
          <w:t>https://doi.org/10.1007/s11023-008-9122-6</w:t>
        </w:r>
      </w:hyperlink>
    </w:p>
    <w:p w14:paraId="3D4C966E" w14:textId="77777777" w:rsidR="00061155" w:rsidRDefault="00061155">
      <w:pPr>
        <w:widowControl w:val="0"/>
        <w:autoSpaceDE w:val="0"/>
        <w:spacing w:line="480" w:lineRule="auto"/>
        <w:ind w:left="480" w:hanging="480"/>
      </w:pPr>
      <w:r>
        <w:rPr>
          <w:rFonts w:ascii="Times New Roman" w:eastAsia="Times New Roman" w:hAnsi="Times New Roman"/>
          <w:sz w:val="24"/>
          <w:szCs w:val="24"/>
          <w:lang w:eastAsia="it-IT"/>
        </w:rPr>
        <w:t xml:space="preserve">Berkman, E. T., Hutcherson, C. A., Livingston, J. L., Kahn, L. E., &amp; Inzlicht, M. (2017). Self-control as value-based choice. </w:t>
      </w:r>
      <w:r>
        <w:rPr>
          <w:rFonts w:ascii="Times New Roman" w:eastAsia="Times New Roman" w:hAnsi="Times New Roman"/>
          <w:i/>
          <w:iCs/>
          <w:sz w:val="24"/>
          <w:szCs w:val="24"/>
          <w:lang w:eastAsia="it-IT"/>
        </w:rPr>
        <w:t>Current Directions in Psychological Science</w:t>
      </w:r>
      <w:r>
        <w:rPr>
          <w:rFonts w:ascii="Times New Roman" w:eastAsia="Times New Roman" w:hAnsi="Times New Roman"/>
          <w:sz w:val="24"/>
          <w:szCs w:val="24"/>
          <w:lang w:eastAsia="it-IT"/>
        </w:rPr>
        <w:t xml:space="preserve">, </w:t>
      </w:r>
      <w:r>
        <w:rPr>
          <w:rFonts w:ascii="Times New Roman" w:eastAsia="Times New Roman" w:hAnsi="Times New Roman"/>
          <w:i/>
          <w:iCs/>
          <w:sz w:val="24"/>
          <w:szCs w:val="24"/>
          <w:lang w:eastAsia="it-IT"/>
        </w:rPr>
        <w:t>26</w:t>
      </w:r>
      <w:r>
        <w:rPr>
          <w:rFonts w:ascii="Times New Roman" w:eastAsia="Times New Roman" w:hAnsi="Times New Roman"/>
          <w:sz w:val="24"/>
          <w:szCs w:val="24"/>
          <w:lang w:eastAsia="it-IT"/>
        </w:rPr>
        <w:t>(5), 422–428. https://doi.org/10.1177/0963721417704394</w:t>
      </w:r>
    </w:p>
    <w:p w14:paraId="3E33D1B4"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Bogg, T., &amp; Roberts, B. W. (2004). Conscientiousness and health-related behaviors: A meta-analysis of the leading behavioral contributors to mortality. </w:t>
      </w:r>
      <w:r w:rsidRPr="00FB206C">
        <w:rPr>
          <w:rFonts w:ascii="Times New Roman" w:hAnsi="Times New Roman"/>
          <w:i/>
          <w:iCs/>
          <w:sz w:val="24"/>
          <w:szCs w:val="24"/>
          <w:lang w:val="it-IT" w:eastAsia="it-IT"/>
        </w:rPr>
        <w:t>Psychological Bulletin</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130</w:t>
      </w:r>
      <w:r w:rsidRPr="00FB206C">
        <w:rPr>
          <w:rFonts w:ascii="Times New Roman" w:hAnsi="Times New Roman"/>
          <w:sz w:val="24"/>
          <w:szCs w:val="24"/>
          <w:lang w:val="it-IT" w:eastAsia="it-IT"/>
        </w:rPr>
        <w:t>(6), 887–919. https://doi.org/10.1037/0033-2909.130.6.887</w:t>
      </w:r>
    </w:p>
    <w:p w14:paraId="6500B4C4"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Borsboom, D. (2017). A network theory of mental disorders. </w:t>
      </w:r>
      <w:r w:rsidRPr="00FB206C">
        <w:rPr>
          <w:rFonts w:ascii="Times New Roman" w:hAnsi="Times New Roman"/>
          <w:i/>
          <w:iCs/>
          <w:sz w:val="24"/>
          <w:szCs w:val="24"/>
          <w:lang w:val="it-IT" w:eastAsia="it-IT"/>
        </w:rPr>
        <w:t>World Psychiatry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16</w:t>
      </w:r>
      <w:r w:rsidRPr="00FB206C">
        <w:rPr>
          <w:rFonts w:ascii="Times New Roman" w:hAnsi="Times New Roman"/>
          <w:sz w:val="24"/>
          <w:szCs w:val="24"/>
          <w:lang w:val="it-IT" w:eastAsia="it-IT"/>
        </w:rPr>
        <w:t>(1), 5–13. https://doi.org/10.1002/wps.20375</w:t>
      </w:r>
    </w:p>
    <w:p w14:paraId="67239CE4"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Borsboom, D., Mellenbergh, G. J., &amp; van Heerden, J. (2003). The theoretical status of latent variables. </w:t>
      </w:r>
      <w:r w:rsidRPr="00FB206C">
        <w:rPr>
          <w:rFonts w:ascii="Times New Roman" w:hAnsi="Times New Roman"/>
          <w:i/>
          <w:iCs/>
          <w:sz w:val="24"/>
          <w:szCs w:val="24"/>
          <w:lang w:val="it-IT" w:eastAsia="it-IT"/>
        </w:rPr>
        <w:t>Psychological Review</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110</w:t>
      </w:r>
      <w:r w:rsidRPr="00FB206C">
        <w:rPr>
          <w:rFonts w:ascii="Times New Roman" w:hAnsi="Times New Roman"/>
          <w:sz w:val="24"/>
          <w:szCs w:val="24"/>
          <w:lang w:val="it-IT" w:eastAsia="it-IT"/>
        </w:rPr>
        <w:t>(2), 203–219. https://doi.org/10.1037/0033-295X.110.2.203</w:t>
      </w:r>
    </w:p>
    <w:p w14:paraId="5C46C0ED"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Borsboom, D., Mellenbergh, G. J., &amp; van Heerden, J. (2004). The concept of validity. </w:t>
      </w:r>
      <w:r w:rsidRPr="00FB206C">
        <w:rPr>
          <w:rFonts w:ascii="Times New Roman" w:hAnsi="Times New Roman"/>
          <w:i/>
          <w:iCs/>
          <w:sz w:val="24"/>
          <w:szCs w:val="24"/>
          <w:lang w:val="it-IT" w:eastAsia="it-IT"/>
        </w:rPr>
        <w:t>Psychological Review</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111</w:t>
      </w:r>
      <w:r w:rsidRPr="00FB206C">
        <w:rPr>
          <w:rFonts w:ascii="Times New Roman" w:hAnsi="Times New Roman"/>
          <w:sz w:val="24"/>
          <w:szCs w:val="24"/>
          <w:lang w:val="it-IT" w:eastAsia="it-IT"/>
        </w:rPr>
        <w:t>(4), 1061–1071. https://doi.org/10.1037/0033-295X.111.4.1061</w:t>
      </w:r>
    </w:p>
    <w:p w14:paraId="216425BB"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lastRenderedPageBreak/>
        <w:t xml:space="preserve">Bringmann, L. F., Vissers, N., Wichers, M., Geschwind, N., Kuppens, P., Peeters, F., … Tuerlinckx, F. (2013). A Network approach to psychopathology: New insights into clinical longitudinal data. </w:t>
      </w:r>
      <w:r w:rsidRPr="00FB206C">
        <w:rPr>
          <w:rFonts w:ascii="Times New Roman" w:hAnsi="Times New Roman"/>
          <w:i/>
          <w:iCs/>
          <w:sz w:val="24"/>
          <w:szCs w:val="24"/>
          <w:lang w:val="it-IT" w:eastAsia="it-IT"/>
        </w:rPr>
        <w:t>PLoS ONE</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8</w:t>
      </w:r>
      <w:r w:rsidRPr="00FB206C">
        <w:rPr>
          <w:rFonts w:ascii="Times New Roman" w:hAnsi="Times New Roman"/>
          <w:sz w:val="24"/>
          <w:szCs w:val="24"/>
          <w:lang w:val="it-IT" w:eastAsia="it-IT"/>
        </w:rPr>
        <w:t>(4), e96588. https://doi.org/10.1371/journal.pone.0060188</w:t>
      </w:r>
    </w:p>
    <w:p w14:paraId="1A084469"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Chalmers, D. J. (2006). Strong and weak emergence. In P. Clayton &amp; P. Davies (Eds.), </w:t>
      </w:r>
      <w:r w:rsidRPr="00FB206C">
        <w:rPr>
          <w:rFonts w:ascii="Times New Roman" w:hAnsi="Times New Roman"/>
          <w:i/>
          <w:iCs/>
          <w:sz w:val="24"/>
          <w:szCs w:val="24"/>
          <w:lang w:val="it-IT" w:eastAsia="it-IT"/>
        </w:rPr>
        <w:t>The Re-emergence of emergence</w:t>
      </w:r>
      <w:r w:rsidRPr="00FB206C">
        <w:rPr>
          <w:rFonts w:ascii="Times New Roman" w:hAnsi="Times New Roman"/>
          <w:sz w:val="24"/>
          <w:szCs w:val="24"/>
          <w:lang w:val="it-IT" w:eastAsia="it-IT"/>
        </w:rPr>
        <w:t xml:space="preserve"> (pp. 244–256). New York: Oxford University Press. https://doi.org/10.1093/acprof:oso/9780199544318.003.0011</w:t>
      </w:r>
    </w:p>
    <w:p w14:paraId="4A3542F1"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Costantini, G., Epskamp, S., Borsboom, D., Perugini, M., Mõttus, R., Waldorp, L. J., &amp; Cramer, A. O. J. (2015). State of the aRt personality research: A tutorial on network analysis of personality data in R. </w:t>
      </w:r>
      <w:r w:rsidRPr="00FB206C">
        <w:rPr>
          <w:rFonts w:ascii="Times New Roman" w:hAnsi="Times New Roman"/>
          <w:i/>
          <w:iCs/>
          <w:sz w:val="24"/>
          <w:szCs w:val="24"/>
          <w:lang w:val="it-IT" w:eastAsia="it-IT"/>
        </w:rPr>
        <w:t>Journal of Research in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54</w:t>
      </w:r>
      <w:r w:rsidRPr="00FB206C">
        <w:rPr>
          <w:rFonts w:ascii="Times New Roman" w:hAnsi="Times New Roman"/>
          <w:sz w:val="24"/>
          <w:szCs w:val="24"/>
          <w:lang w:val="it-IT" w:eastAsia="it-IT"/>
        </w:rPr>
        <w:t>, 13–29. https://doi.org/10.1016/j.jrp.2014.07.003</w:t>
      </w:r>
    </w:p>
    <w:p w14:paraId="7855E65F" w14:textId="77777777" w:rsidR="00061155" w:rsidRDefault="00061155">
      <w:pPr>
        <w:widowControl w:val="0"/>
        <w:autoSpaceDE w:val="0"/>
        <w:spacing w:line="480" w:lineRule="auto"/>
        <w:ind w:left="480" w:hanging="480"/>
      </w:pPr>
      <w:r>
        <w:rPr>
          <w:rFonts w:ascii="Times New Roman" w:hAnsi="Times New Roman"/>
          <w:sz w:val="24"/>
          <w:szCs w:val="24"/>
          <w:lang w:val="it-IT" w:eastAsia="it-IT"/>
        </w:rPr>
        <w:t xml:space="preserve">Costantini, G., &amp; Perugini, M. (2016a). </w:t>
      </w:r>
      <w:r w:rsidRPr="00FB206C">
        <w:rPr>
          <w:rFonts w:ascii="Times New Roman" w:hAnsi="Times New Roman"/>
          <w:sz w:val="24"/>
          <w:szCs w:val="24"/>
          <w:lang w:val="it-IT" w:eastAsia="it-IT"/>
        </w:rPr>
        <w:t xml:space="preserve">A network perspective on causality in personality psychology. </w:t>
      </w:r>
      <w:r w:rsidRPr="00FB206C">
        <w:rPr>
          <w:rFonts w:ascii="Times New Roman" w:hAnsi="Times New Roman"/>
          <w:i/>
          <w:iCs/>
          <w:sz w:val="24"/>
          <w:szCs w:val="24"/>
          <w:lang w:val="it-IT" w:eastAsia="it-IT"/>
        </w:rPr>
        <w:t>European Journal of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30</w:t>
      </w:r>
      <w:r w:rsidRPr="00FB206C">
        <w:rPr>
          <w:rFonts w:ascii="Times New Roman" w:hAnsi="Times New Roman"/>
          <w:sz w:val="24"/>
          <w:szCs w:val="24"/>
          <w:lang w:val="it-IT" w:eastAsia="it-IT"/>
        </w:rPr>
        <w:t>(4), 312–313. https://doi.org/10.1002/per.2060</w:t>
      </w:r>
    </w:p>
    <w:p w14:paraId="1273CE04"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Costantini, G., &amp; Perugini, M. (2016b). The network of conscientiousness. </w:t>
      </w:r>
      <w:r w:rsidRPr="00FB206C">
        <w:rPr>
          <w:rFonts w:ascii="Times New Roman" w:hAnsi="Times New Roman"/>
          <w:i/>
          <w:iCs/>
          <w:sz w:val="24"/>
          <w:szCs w:val="24"/>
          <w:lang w:val="it-IT" w:eastAsia="it-IT"/>
        </w:rPr>
        <w:t>Journal of Research in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65</w:t>
      </w:r>
      <w:r w:rsidRPr="00FB206C">
        <w:rPr>
          <w:rFonts w:ascii="Times New Roman" w:hAnsi="Times New Roman"/>
          <w:sz w:val="24"/>
          <w:szCs w:val="24"/>
          <w:lang w:val="it-IT" w:eastAsia="it-IT"/>
        </w:rPr>
        <w:t>, 68–88. https://doi.org/10.1016/j.jrp.2016.10.003</w:t>
      </w:r>
    </w:p>
    <w:p w14:paraId="7FB31A89"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Costantini, G., &amp; Perugini, M. (2017). Network analysis for psychological situations. In J. F. Rauthmann, R. Sherman, &amp; D. C. Funder (Eds.), </w:t>
      </w:r>
      <w:r w:rsidRPr="00FB206C">
        <w:rPr>
          <w:rFonts w:ascii="Times New Roman" w:hAnsi="Times New Roman"/>
          <w:i/>
          <w:iCs/>
          <w:sz w:val="24"/>
          <w:szCs w:val="24"/>
          <w:lang w:val="it-IT" w:eastAsia="it-IT"/>
        </w:rPr>
        <w:t>The Oxford Handbook of Psychological Situations</w:t>
      </w:r>
      <w:r w:rsidRPr="00FB206C">
        <w:rPr>
          <w:rFonts w:ascii="Times New Roman" w:hAnsi="Times New Roman"/>
          <w:sz w:val="24"/>
          <w:szCs w:val="24"/>
          <w:lang w:val="it-IT" w:eastAsia="it-IT"/>
        </w:rPr>
        <w:t>. New York: Oxford University Press. https://doi.org/10.1093/oxfordhb/9780190263348.013.16</w:t>
      </w:r>
    </w:p>
    <w:p w14:paraId="150DE49F"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Costantini, G., Richetin, J., Borsboom, D., Fried, E. I., Rhemtulla, M., &amp; Perugini, M. (2015). Development of indirect measures of conscientiousness: Combining a facets approach and network analysis. </w:t>
      </w:r>
      <w:r w:rsidRPr="00FB206C">
        <w:rPr>
          <w:rFonts w:ascii="Times New Roman" w:hAnsi="Times New Roman"/>
          <w:i/>
          <w:iCs/>
          <w:sz w:val="24"/>
          <w:szCs w:val="24"/>
          <w:lang w:val="it-IT" w:eastAsia="it-IT"/>
        </w:rPr>
        <w:t>European Journal of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29</w:t>
      </w:r>
      <w:r w:rsidRPr="00FB206C">
        <w:rPr>
          <w:rFonts w:ascii="Times New Roman" w:hAnsi="Times New Roman"/>
          <w:sz w:val="24"/>
          <w:szCs w:val="24"/>
          <w:lang w:val="it-IT" w:eastAsia="it-IT"/>
        </w:rPr>
        <w:t>(5), 548–567. https://doi.org/10.1002/per.2014</w:t>
      </w:r>
    </w:p>
    <w:p w14:paraId="51085C23"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Costantini, G., Richetin, J., Preti, E., Casini, E., Epskamp, S., &amp; Perugini, M. (2017). Stability and variability of personality networks. A tutorial on recent developments in network psychometrics. </w:t>
      </w:r>
      <w:r w:rsidRPr="00FB206C">
        <w:rPr>
          <w:rFonts w:ascii="Times New Roman" w:hAnsi="Times New Roman"/>
          <w:i/>
          <w:iCs/>
          <w:sz w:val="24"/>
          <w:szCs w:val="24"/>
          <w:lang w:val="it-IT" w:eastAsia="it-IT"/>
        </w:rPr>
        <w:t>Personality and Individual Differences</w:t>
      </w:r>
      <w:r w:rsidRPr="00FB206C">
        <w:rPr>
          <w:rFonts w:ascii="Times New Roman" w:hAnsi="Times New Roman"/>
          <w:sz w:val="24"/>
          <w:szCs w:val="24"/>
          <w:lang w:val="it-IT" w:eastAsia="it-IT"/>
        </w:rPr>
        <w:t xml:space="preserve">. </w:t>
      </w:r>
      <w:r w:rsidRPr="00FB206C">
        <w:rPr>
          <w:rFonts w:ascii="Times New Roman" w:hAnsi="Times New Roman"/>
          <w:sz w:val="24"/>
          <w:szCs w:val="24"/>
          <w:lang w:val="it-IT" w:eastAsia="it-IT"/>
        </w:rPr>
        <w:lastRenderedPageBreak/>
        <w:t>https://doi.org/10.1016/j.paid.2017.06.011</w:t>
      </w:r>
    </w:p>
    <w:p w14:paraId="48C38348"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Cramer, A. O. J., van der Sluis, S., Noordhof, A., Wichers, M., Geschwind, N., Aggen, S. H., … Borsboom, D. (2012). Dimensions of normal personality as networks in search of equilibrium: You can’t like parties if you don’t like people. </w:t>
      </w:r>
      <w:r w:rsidRPr="00FB206C">
        <w:rPr>
          <w:rFonts w:ascii="Times New Roman" w:hAnsi="Times New Roman"/>
          <w:i/>
          <w:iCs/>
          <w:sz w:val="24"/>
          <w:szCs w:val="24"/>
          <w:lang w:val="it-IT" w:eastAsia="it-IT"/>
        </w:rPr>
        <w:t>European Journal of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26</w:t>
      </w:r>
      <w:r w:rsidRPr="00FB206C">
        <w:rPr>
          <w:rFonts w:ascii="Times New Roman" w:hAnsi="Times New Roman"/>
          <w:sz w:val="24"/>
          <w:szCs w:val="24"/>
          <w:lang w:val="it-IT" w:eastAsia="it-IT"/>
        </w:rPr>
        <w:t>(4), 414–431. https://doi.org/10.1002/per.1866</w:t>
      </w:r>
    </w:p>
    <w:p w14:paraId="0F902F76"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Dalege, J., Borsboom, D., van Harreveld, F., van den Berg, H., Conner, M., &amp; van der Maas, H. L. J. (2016). Toward a formalized account of attitudes: The Causal Attitude Network (CAN) model. </w:t>
      </w:r>
      <w:r w:rsidRPr="00FB206C">
        <w:rPr>
          <w:rFonts w:ascii="Times New Roman" w:hAnsi="Times New Roman"/>
          <w:i/>
          <w:iCs/>
          <w:sz w:val="24"/>
          <w:szCs w:val="24"/>
          <w:lang w:val="it-IT" w:eastAsia="it-IT"/>
        </w:rPr>
        <w:t>Psychological Review</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123</w:t>
      </w:r>
      <w:r w:rsidRPr="00FB206C">
        <w:rPr>
          <w:rFonts w:ascii="Times New Roman" w:hAnsi="Times New Roman"/>
          <w:sz w:val="24"/>
          <w:szCs w:val="24"/>
          <w:lang w:val="it-IT" w:eastAsia="it-IT"/>
        </w:rPr>
        <w:t>(1), 2–22. https://doi.org/10.1037/a0039802</w:t>
      </w:r>
    </w:p>
    <w:p w14:paraId="29796E3A"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Danaher, P., Wang, P., &amp; Witten, D. M. (2014). The joint graphical lasso for inverse covariance estimation across multiple classes. </w:t>
      </w:r>
      <w:r w:rsidRPr="00FB206C">
        <w:rPr>
          <w:rFonts w:ascii="Times New Roman" w:hAnsi="Times New Roman"/>
          <w:i/>
          <w:iCs/>
          <w:sz w:val="24"/>
          <w:szCs w:val="24"/>
          <w:lang w:val="it-IT" w:eastAsia="it-IT"/>
        </w:rPr>
        <w:t>Journal of the Royal Statistical Society: Series B (Statistical Methodology)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76</w:t>
      </w:r>
      <w:r w:rsidRPr="00FB206C">
        <w:rPr>
          <w:rFonts w:ascii="Times New Roman" w:hAnsi="Times New Roman"/>
          <w:sz w:val="24"/>
          <w:szCs w:val="24"/>
          <w:lang w:val="it-IT" w:eastAsia="it-IT"/>
        </w:rPr>
        <w:t>(2), 373–397. https://doi.org/10.1111/rssb.12033</w:t>
      </w:r>
    </w:p>
    <w:p w14:paraId="32866EED"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De Boer, B. J., Van Hooft, E. A. J., &amp; Bakker, A. B. (2011). Stop and start control: A distinction within self-control. </w:t>
      </w:r>
      <w:r w:rsidRPr="00FB206C">
        <w:rPr>
          <w:rFonts w:ascii="Times New Roman" w:hAnsi="Times New Roman"/>
          <w:i/>
          <w:iCs/>
          <w:sz w:val="24"/>
          <w:szCs w:val="24"/>
          <w:lang w:val="it-IT" w:eastAsia="it-IT"/>
        </w:rPr>
        <w:t>European Journal of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25</w:t>
      </w:r>
      <w:r w:rsidRPr="00FB206C">
        <w:rPr>
          <w:rFonts w:ascii="Times New Roman" w:hAnsi="Times New Roman"/>
          <w:sz w:val="24"/>
          <w:szCs w:val="24"/>
          <w:lang w:val="it-IT" w:eastAsia="it-IT"/>
        </w:rPr>
        <w:t>(5), 349–362. https://doi.org/10.1002/per.796</w:t>
      </w:r>
    </w:p>
    <w:p w14:paraId="6A5A5B5A"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Denson, T. F., Wilkowski, B. M., DeWall, C. N., Friese, M., Hofmann, W., Ferguson, E. L., … Kasumovic, M. M. (2016). “Thou Shalt Kill”: Practicing self-control supports adherence to personal values when asked to aggress. </w:t>
      </w:r>
      <w:r w:rsidRPr="00FB206C">
        <w:rPr>
          <w:rFonts w:ascii="Times New Roman" w:hAnsi="Times New Roman"/>
          <w:i/>
          <w:iCs/>
          <w:sz w:val="24"/>
          <w:szCs w:val="24"/>
          <w:lang w:val="it-IT" w:eastAsia="it-IT"/>
        </w:rPr>
        <w:t>Journal of Experimental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69</w:t>
      </w:r>
      <w:r w:rsidRPr="00FB206C">
        <w:rPr>
          <w:rFonts w:ascii="Times New Roman" w:hAnsi="Times New Roman"/>
          <w:sz w:val="24"/>
          <w:szCs w:val="24"/>
          <w:lang w:val="it-IT" w:eastAsia="it-IT"/>
        </w:rPr>
        <w:t>, 71–78. https://doi.org/10.1016/j.jesp.2016.09.001</w:t>
      </w:r>
    </w:p>
    <w:p w14:paraId="276F830F" w14:textId="77777777" w:rsidR="00061155" w:rsidRDefault="00061155">
      <w:pPr>
        <w:widowControl w:val="0"/>
        <w:autoSpaceDE w:val="0"/>
        <w:spacing w:line="480" w:lineRule="auto"/>
        <w:ind w:left="480" w:hanging="480"/>
        <w:rPr>
          <w:rFonts w:ascii="Times New Roman" w:eastAsia="Times New Roman" w:hAnsi="Times New Roman"/>
          <w:sz w:val="24"/>
          <w:szCs w:val="24"/>
          <w:lang w:eastAsia="it-IT"/>
        </w:rPr>
      </w:pPr>
      <w:r w:rsidRPr="00FB206C">
        <w:rPr>
          <w:rFonts w:ascii="Times New Roman" w:hAnsi="Times New Roman"/>
          <w:sz w:val="24"/>
          <w:szCs w:val="24"/>
          <w:lang w:val="it-IT" w:eastAsia="it-IT"/>
        </w:rPr>
        <w:t xml:space="preserve">DeYoung, C. G. (2015). Cybernetic Big Five Theory. </w:t>
      </w:r>
      <w:r w:rsidRPr="00FB206C">
        <w:rPr>
          <w:rFonts w:ascii="Times New Roman" w:hAnsi="Times New Roman"/>
          <w:i/>
          <w:iCs/>
          <w:sz w:val="24"/>
          <w:szCs w:val="24"/>
          <w:lang w:val="it-IT" w:eastAsia="it-IT"/>
        </w:rPr>
        <w:t>Journal of Research in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56</w:t>
      </w:r>
      <w:r w:rsidRPr="00FB206C">
        <w:rPr>
          <w:rFonts w:ascii="Times New Roman" w:hAnsi="Times New Roman"/>
          <w:sz w:val="24"/>
          <w:szCs w:val="24"/>
          <w:lang w:val="it-IT" w:eastAsia="it-IT"/>
        </w:rPr>
        <w:t xml:space="preserve">, 33–58. </w:t>
      </w:r>
      <w:hyperlink r:id="rId12" w:history="1">
        <w:r w:rsidRPr="00FB206C">
          <w:rPr>
            <w:rStyle w:val="Collegamentoipertestuale"/>
            <w:rFonts w:ascii="Times New Roman" w:hAnsi="Times New Roman"/>
            <w:sz w:val="24"/>
            <w:szCs w:val="24"/>
            <w:lang w:val="it-IT" w:eastAsia="it-IT"/>
          </w:rPr>
          <w:t>https://doi.org/10.1016/j.jrp.2014.07.004</w:t>
        </w:r>
      </w:hyperlink>
    </w:p>
    <w:p w14:paraId="7C03977C" w14:textId="77777777" w:rsidR="00061155" w:rsidRPr="00FB206C" w:rsidRDefault="00061155">
      <w:pPr>
        <w:widowControl w:val="0"/>
        <w:autoSpaceDE w:val="0"/>
        <w:spacing w:line="480" w:lineRule="auto"/>
        <w:ind w:left="480" w:hanging="480"/>
        <w:rPr>
          <w:rFonts w:ascii="Times New Roman" w:hAnsi="Times New Roman"/>
          <w:sz w:val="24"/>
          <w:szCs w:val="24"/>
          <w:lang w:val="it-IT" w:eastAsia="it-IT"/>
        </w:rPr>
      </w:pPr>
      <w:r>
        <w:rPr>
          <w:rFonts w:ascii="Times New Roman" w:eastAsia="Times New Roman" w:hAnsi="Times New Roman"/>
          <w:sz w:val="24"/>
          <w:szCs w:val="24"/>
          <w:lang w:eastAsia="it-IT"/>
        </w:rPr>
        <w:t xml:space="preserve">DeYoung, C. G. (2017a). A cybernetic perspective on integrating personality structure, personality process, </w:t>
      </w:r>
      <w:r w:rsidRPr="00FB206C">
        <w:rPr>
          <w:rFonts w:ascii="Times New Roman" w:hAnsi="Times New Roman"/>
          <w:sz w:val="24"/>
          <w:szCs w:val="24"/>
          <w:lang w:val="it-IT" w:eastAsia="it-IT"/>
        </w:rPr>
        <w:t>and</w:t>
      </w:r>
      <w:r>
        <w:rPr>
          <w:rFonts w:ascii="Times New Roman" w:eastAsia="Times New Roman" w:hAnsi="Times New Roman"/>
          <w:sz w:val="24"/>
          <w:szCs w:val="24"/>
          <w:lang w:eastAsia="it-IT"/>
        </w:rPr>
        <w:t xml:space="preserve"> personality development. </w:t>
      </w:r>
      <w:r>
        <w:rPr>
          <w:rFonts w:ascii="Times New Roman" w:eastAsia="Times New Roman" w:hAnsi="Times New Roman"/>
          <w:i/>
          <w:iCs/>
          <w:sz w:val="24"/>
          <w:szCs w:val="24"/>
          <w:lang w:eastAsia="it-IT"/>
        </w:rPr>
        <w:t>European Journal of Personality</w:t>
      </w:r>
      <w:r>
        <w:rPr>
          <w:rFonts w:ascii="Times New Roman" w:eastAsia="Times New Roman" w:hAnsi="Times New Roman"/>
          <w:sz w:val="24"/>
          <w:szCs w:val="24"/>
          <w:lang w:eastAsia="it-IT"/>
        </w:rPr>
        <w:t xml:space="preserve">, </w:t>
      </w:r>
      <w:r>
        <w:rPr>
          <w:rFonts w:ascii="Times New Roman" w:eastAsia="Times New Roman" w:hAnsi="Times New Roman"/>
          <w:i/>
          <w:iCs/>
          <w:sz w:val="24"/>
          <w:szCs w:val="24"/>
          <w:lang w:eastAsia="it-IT"/>
        </w:rPr>
        <w:t>31</w:t>
      </w:r>
      <w:r>
        <w:rPr>
          <w:rFonts w:ascii="Times New Roman" w:eastAsia="Times New Roman" w:hAnsi="Times New Roman"/>
          <w:sz w:val="24"/>
          <w:szCs w:val="24"/>
          <w:lang w:eastAsia="it-IT"/>
        </w:rPr>
        <w:t xml:space="preserve">, 538–539. </w:t>
      </w:r>
      <w:hyperlink r:id="rId13" w:history="1">
        <w:r>
          <w:rPr>
            <w:rStyle w:val="Collegamentoipertestuale"/>
            <w:rFonts w:ascii="Times New Roman" w:eastAsia="Times New Roman" w:hAnsi="Times New Roman"/>
            <w:sz w:val="24"/>
            <w:szCs w:val="24"/>
            <w:lang w:eastAsia="it-IT"/>
          </w:rPr>
          <w:t>https://doi.org/10.1002/per.2128</w:t>
        </w:r>
      </w:hyperlink>
    </w:p>
    <w:p w14:paraId="30D7635D"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DeYoung, C. G. (2017b). In defense of (some) trait theories : Commentary on Hogan and Foster (2016). </w:t>
      </w:r>
      <w:r w:rsidRPr="00FB206C">
        <w:rPr>
          <w:rFonts w:ascii="Times New Roman" w:hAnsi="Times New Roman"/>
          <w:i/>
          <w:iCs/>
          <w:sz w:val="24"/>
          <w:szCs w:val="24"/>
          <w:lang w:val="it-IT" w:eastAsia="it-IT"/>
        </w:rPr>
        <w:t>International Journal of Personality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3</w:t>
      </w:r>
      <w:r w:rsidRPr="00FB206C">
        <w:rPr>
          <w:rFonts w:ascii="Times New Roman" w:hAnsi="Times New Roman"/>
          <w:sz w:val="24"/>
          <w:szCs w:val="24"/>
          <w:lang w:val="it-IT" w:eastAsia="it-IT"/>
        </w:rPr>
        <w:t>(1), 13–16.</w:t>
      </w:r>
    </w:p>
    <w:p w14:paraId="520BAF3D" w14:textId="77777777" w:rsidR="00061155" w:rsidRPr="00FB206C" w:rsidRDefault="00061155">
      <w:pPr>
        <w:widowControl w:val="0"/>
        <w:autoSpaceDE w:val="0"/>
        <w:spacing w:line="480" w:lineRule="auto"/>
        <w:ind w:left="480" w:hanging="480"/>
        <w:rPr>
          <w:rFonts w:ascii="Times New Roman" w:hAnsi="Times New Roman"/>
          <w:sz w:val="24"/>
          <w:szCs w:val="24"/>
          <w:lang w:val="it-IT" w:eastAsia="it-IT"/>
        </w:rPr>
      </w:pPr>
      <w:r w:rsidRPr="00FB206C">
        <w:rPr>
          <w:rFonts w:ascii="Times New Roman" w:hAnsi="Times New Roman"/>
          <w:sz w:val="24"/>
          <w:szCs w:val="24"/>
          <w:lang w:val="it-IT" w:eastAsia="it-IT"/>
        </w:rPr>
        <w:t xml:space="preserve">Duckworth, A. L., Gendler, T. S., &amp; Gross, J. J. (2016). Situational strategies for self-control. </w:t>
      </w:r>
      <w:r w:rsidRPr="00FB206C">
        <w:rPr>
          <w:rFonts w:ascii="Times New Roman" w:hAnsi="Times New Roman"/>
          <w:i/>
          <w:iCs/>
          <w:sz w:val="24"/>
          <w:szCs w:val="24"/>
          <w:lang w:val="it-IT" w:eastAsia="it-IT"/>
        </w:rPr>
        <w:lastRenderedPageBreak/>
        <w:t>Perspectives on Psychological Science</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11</w:t>
      </w:r>
      <w:r w:rsidRPr="00FB206C">
        <w:rPr>
          <w:rFonts w:ascii="Times New Roman" w:hAnsi="Times New Roman"/>
          <w:sz w:val="24"/>
          <w:szCs w:val="24"/>
          <w:lang w:val="it-IT" w:eastAsia="it-IT"/>
        </w:rPr>
        <w:t xml:space="preserve">(1), 35–55. </w:t>
      </w:r>
      <w:hyperlink r:id="rId14" w:history="1">
        <w:r w:rsidRPr="00FB206C">
          <w:rPr>
            <w:rStyle w:val="Collegamentoipertestuale"/>
            <w:rFonts w:ascii="Times New Roman" w:hAnsi="Times New Roman"/>
            <w:sz w:val="24"/>
            <w:szCs w:val="24"/>
            <w:lang w:val="it-IT" w:eastAsia="it-IT"/>
          </w:rPr>
          <w:t>https://doi.org/10.1177/1745691615623247</w:t>
        </w:r>
      </w:hyperlink>
    </w:p>
    <w:p w14:paraId="254EA9CD"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Duckworth, A. L., Grant, H., Loew, B., Oettingen, G., &amp; Gollwitzer, P. M. (2011). Self-regulation strategies improve self-discipline in adolescents: Benefits of mental contrasting and implementation intentions. </w:t>
      </w:r>
      <w:r w:rsidRPr="00FB206C">
        <w:rPr>
          <w:rFonts w:ascii="Times New Roman" w:hAnsi="Times New Roman"/>
          <w:i/>
          <w:sz w:val="24"/>
          <w:szCs w:val="24"/>
          <w:lang w:val="it-IT" w:eastAsia="it-IT"/>
        </w:rPr>
        <w:t>Educational Psychology, 31</w:t>
      </w:r>
      <w:r w:rsidRPr="00FB206C">
        <w:rPr>
          <w:rFonts w:ascii="Times New Roman" w:hAnsi="Times New Roman"/>
          <w:sz w:val="24"/>
          <w:szCs w:val="24"/>
          <w:lang w:val="it-IT" w:eastAsia="it-IT"/>
        </w:rPr>
        <w:t>(1), 17–26. https://doi.org/10.1080/01443410.2010.506003</w:t>
      </w:r>
    </w:p>
    <w:p w14:paraId="55D4F3DD" w14:textId="77777777" w:rsidR="00061155" w:rsidRDefault="00061155">
      <w:pPr>
        <w:widowControl w:val="0"/>
        <w:autoSpaceDE w:val="0"/>
        <w:spacing w:line="480" w:lineRule="auto"/>
        <w:ind w:left="480" w:hanging="480"/>
        <w:rPr>
          <w:rFonts w:ascii="Times New Roman" w:hAnsi="Times New Roman"/>
          <w:sz w:val="24"/>
          <w:szCs w:val="24"/>
          <w:lang w:val="fr-FR" w:eastAsia="it-IT"/>
        </w:rPr>
      </w:pPr>
      <w:r w:rsidRPr="00FB206C">
        <w:rPr>
          <w:rFonts w:ascii="Times New Roman" w:hAnsi="Times New Roman"/>
          <w:sz w:val="24"/>
          <w:szCs w:val="24"/>
          <w:lang w:val="it-IT" w:eastAsia="it-IT"/>
        </w:rPr>
        <w:t xml:space="preserve">Duckworth, A. L., &amp; Gross, J. J. (2014). Self-control and grit: Related but separable determinants of success. </w:t>
      </w:r>
      <w:r>
        <w:rPr>
          <w:rFonts w:ascii="Times New Roman" w:hAnsi="Times New Roman"/>
          <w:i/>
          <w:iCs/>
          <w:sz w:val="24"/>
          <w:szCs w:val="24"/>
          <w:lang w:val="fr-FR" w:eastAsia="it-IT"/>
        </w:rPr>
        <w:t>Current Directions in Psychological Science</w:t>
      </w:r>
      <w:r>
        <w:rPr>
          <w:rFonts w:ascii="Times New Roman" w:hAnsi="Times New Roman"/>
          <w:sz w:val="24"/>
          <w:szCs w:val="24"/>
          <w:lang w:val="fr-FR" w:eastAsia="it-IT"/>
        </w:rPr>
        <w:t xml:space="preserve">, </w:t>
      </w:r>
      <w:r>
        <w:rPr>
          <w:rFonts w:ascii="Times New Roman" w:hAnsi="Times New Roman"/>
          <w:i/>
          <w:iCs/>
          <w:sz w:val="24"/>
          <w:szCs w:val="24"/>
          <w:lang w:val="fr-FR" w:eastAsia="it-IT"/>
        </w:rPr>
        <w:t>23</w:t>
      </w:r>
      <w:r>
        <w:rPr>
          <w:rFonts w:ascii="Times New Roman" w:hAnsi="Times New Roman"/>
          <w:sz w:val="24"/>
          <w:szCs w:val="24"/>
          <w:lang w:val="fr-FR" w:eastAsia="it-IT"/>
        </w:rPr>
        <w:t xml:space="preserve">(5), 319–325. </w:t>
      </w:r>
      <w:hyperlink r:id="rId15" w:history="1">
        <w:r>
          <w:rPr>
            <w:rStyle w:val="Collegamentoipertestuale"/>
            <w:rFonts w:ascii="Times New Roman" w:hAnsi="Times New Roman"/>
            <w:sz w:val="24"/>
            <w:szCs w:val="24"/>
            <w:lang w:val="fr-FR" w:eastAsia="it-IT"/>
          </w:rPr>
          <w:t>https://doi.org/10.1177/0963721414541462</w:t>
        </w:r>
      </w:hyperlink>
    </w:p>
    <w:p w14:paraId="659C4FAE" w14:textId="1CDBF03F" w:rsidR="00061155" w:rsidRPr="00FB206C" w:rsidRDefault="00061155">
      <w:pPr>
        <w:widowControl w:val="0"/>
        <w:autoSpaceDE w:val="0"/>
        <w:spacing w:line="480" w:lineRule="auto"/>
        <w:ind w:left="480" w:hanging="480"/>
        <w:rPr>
          <w:rFonts w:ascii="Times New Roman" w:hAnsi="Times New Roman"/>
          <w:sz w:val="24"/>
          <w:szCs w:val="24"/>
          <w:lang w:val="it-IT" w:eastAsia="it-IT"/>
        </w:rPr>
      </w:pPr>
      <w:r>
        <w:rPr>
          <w:rFonts w:ascii="Times New Roman" w:hAnsi="Times New Roman"/>
          <w:sz w:val="24"/>
          <w:szCs w:val="24"/>
          <w:lang w:val="fr-FR" w:eastAsia="it-IT"/>
        </w:rPr>
        <w:t xml:space="preserve">Dweck, C. S. (2006). </w:t>
      </w:r>
      <w:r w:rsidRPr="00FB206C">
        <w:rPr>
          <w:rFonts w:ascii="Times New Roman" w:hAnsi="Times New Roman"/>
          <w:i/>
          <w:sz w:val="24"/>
          <w:szCs w:val="24"/>
          <w:lang w:val="it-IT" w:eastAsia="it-IT"/>
        </w:rPr>
        <w:t>Mindset: The new psychology of success</w:t>
      </w:r>
      <w:r w:rsidRPr="00FB206C">
        <w:rPr>
          <w:rFonts w:ascii="Times New Roman" w:hAnsi="Times New Roman"/>
          <w:sz w:val="24"/>
          <w:szCs w:val="24"/>
          <w:lang w:val="it-IT" w:eastAsia="it-IT"/>
        </w:rPr>
        <w:t>. New York: Random House.</w:t>
      </w:r>
    </w:p>
    <w:p w14:paraId="3C9C582F" w14:textId="54EFDEDC" w:rsidR="00E21A4D" w:rsidRPr="00FB206C" w:rsidRDefault="00E21A4D">
      <w:pPr>
        <w:widowControl w:val="0"/>
        <w:autoSpaceDE w:val="0"/>
        <w:spacing w:line="480" w:lineRule="auto"/>
        <w:ind w:left="480" w:hanging="480"/>
        <w:rPr>
          <w:rFonts w:ascii="Times New Roman" w:hAnsi="Times New Roman"/>
          <w:sz w:val="24"/>
          <w:lang w:val="it-IT"/>
        </w:rPr>
      </w:pPr>
      <w:r w:rsidRPr="00FB206C">
        <w:rPr>
          <w:rFonts w:ascii="Times New Roman" w:hAnsi="Times New Roman"/>
          <w:sz w:val="24"/>
          <w:szCs w:val="24"/>
          <w:lang w:val="it-IT" w:eastAsia="it-IT"/>
        </w:rPr>
        <w:t xml:space="preserve">Eisenberg, I. W., Bissett, P. G., Canning, J. R., Dallery, J., Enkavi, A. Z., Whitfield-Gabrieli, S., … Poldrack, R. A. (2018). Applying novel technologies and methods to inform the ontology of self-regulation. </w:t>
      </w:r>
      <w:r w:rsidRPr="00FB206C">
        <w:rPr>
          <w:rFonts w:ascii="Times New Roman" w:hAnsi="Times New Roman"/>
          <w:i/>
          <w:sz w:val="24"/>
          <w:szCs w:val="24"/>
          <w:lang w:val="it-IT" w:eastAsia="it-IT"/>
        </w:rPr>
        <w:t>Behaviour Research and Therapy, 101</w:t>
      </w:r>
      <w:r w:rsidRPr="00FB206C">
        <w:rPr>
          <w:rFonts w:ascii="Times New Roman" w:hAnsi="Times New Roman"/>
          <w:sz w:val="24"/>
          <w:szCs w:val="24"/>
          <w:lang w:val="it-IT" w:eastAsia="it-IT"/>
        </w:rPr>
        <w:t>, 46–57. https://doi.org/10.1016/j.brat.2017.09.014</w:t>
      </w:r>
    </w:p>
    <w:p w14:paraId="63C626D5" w14:textId="64EF5D09" w:rsidR="00061155" w:rsidRDefault="00EC68C6">
      <w:pPr>
        <w:widowControl w:val="0"/>
        <w:autoSpaceDE w:val="0"/>
        <w:spacing w:line="480" w:lineRule="auto"/>
        <w:ind w:left="480" w:hanging="480"/>
      </w:pPr>
      <w:r w:rsidRPr="00FB206C">
        <w:rPr>
          <w:rFonts w:ascii="Times New Roman" w:hAnsi="Times New Roman"/>
          <w:sz w:val="24"/>
          <w:szCs w:val="24"/>
          <w:lang w:val="it-IT" w:eastAsia="it-IT"/>
        </w:rPr>
        <w:t>Ent, M.</w:t>
      </w:r>
      <w:r w:rsidR="00061155" w:rsidRPr="00FB206C">
        <w:rPr>
          <w:rFonts w:ascii="Times New Roman" w:hAnsi="Times New Roman"/>
          <w:sz w:val="24"/>
          <w:szCs w:val="24"/>
          <w:lang w:val="it-IT" w:eastAsia="it-IT"/>
        </w:rPr>
        <w:t xml:space="preserve"> R., Baumeister, R. F., &amp; Tice, D. M. (2015). Trait self-control and the avoidance of temptation. </w:t>
      </w:r>
      <w:r w:rsidR="00061155" w:rsidRPr="00FB206C">
        <w:rPr>
          <w:rFonts w:ascii="Times New Roman" w:hAnsi="Times New Roman"/>
          <w:i/>
          <w:iCs/>
          <w:sz w:val="24"/>
          <w:szCs w:val="24"/>
          <w:lang w:val="it-IT" w:eastAsia="it-IT"/>
        </w:rPr>
        <w:t>Personality and Individual Differences</w:t>
      </w:r>
      <w:r w:rsidR="00061155" w:rsidRPr="00FB206C">
        <w:rPr>
          <w:rFonts w:ascii="Times New Roman" w:hAnsi="Times New Roman"/>
          <w:sz w:val="24"/>
          <w:szCs w:val="24"/>
          <w:lang w:val="it-IT" w:eastAsia="it-IT"/>
        </w:rPr>
        <w:t xml:space="preserve">, </w:t>
      </w:r>
      <w:r w:rsidR="00061155" w:rsidRPr="00FB206C">
        <w:rPr>
          <w:rFonts w:ascii="Times New Roman" w:hAnsi="Times New Roman"/>
          <w:i/>
          <w:iCs/>
          <w:sz w:val="24"/>
          <w:szCs w:val="24"/>
          <w:lang w:val="it-IT" w:eastAsia="it-IT"/>
        </w:rPr>
        <w:t>74</w:t>
      </w:r>
      <w:r w:rsidR="00061155" w:rsidRPr="00FB206C">
        <w:rPr>
          <w:rFonts w:ascii="Times New Roman" w:hAnsi="Times New Roman"/>
          <w:sz w:val="24"/>
          <w:szCs w:val="24"/>
          <w:lang w:val="it-IT" w:eastAsia="it-IT"/>
        </w:rPr>
        <w:t>, 12–15. https://doi.org/10.1016/j.paid.2014.09.031</w:t>
      </w:r>
    </w:p>
    <w:p w14:paraId="43CCB409"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Epskamp, S. (2017). </w:t>
      </w:r>
      <w:r w:rsidRPr="00FB206C">
        <w:rPr>
          <w:rFonts w:ascii="Times New Roman" w:hAnsi="Times New Roman"/>
          <w:i/>
          <w:iCs/>
          <w:sz w:val="24"/>
          <w:szCs w:val="24"/>
          <w:lang w:val="it-IT" w:eastAsia="it-IT"/>
        </w:rPr>
        <w:t>Network Psychometrics</w:t>
      </w:r>
      <w:r w:rsidRPr="00FB206C">
        <w:rPr>
          <w:rFonts w:ascii="Times New Roman" w:hAnsi="Times New Roman"/>
          <w:sz w:val="24"/>
          <w:szCs w:val="24"/>
          <w:lang w:val="it-IT" w:eastAsia="it-IT"/>
        </w:rPr>
        <w:t>. University of Amsterdam.</w:t>
      </w:r>
    </w:p>
    <w:p w14:paraId="1F23A460"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Epskamp, S., &amp; Fried, E. I. (2017). A tutorial on regularized partial correlation networks. </w:t>
      </w:r>
      <w:r w:rsidRPr="00FB206C">
        <w:rPr>
          <w:rFonts w:ascii="Times New Roman" w:hAnsi="Times New Roman"/>
          <w:i/>
          <w:iCs/>
          <w:sz w:val="24"/>
          <w:szCs w:val="24"/>
          <w:lang w:val="it-IT" w:eastAsia="it-IT"/>
        </w:rPr>
        <w:t>arXiv Preprint arXiv</w:t>
      </w:r>
      <w:r w:rsidRPr="00FB206C">
        <w:rPr>
          <w:rFonts w:ascii="Times New Roman" w:hAnsi="Times New Roman"/>
          <w:sz w:val="24"/>
          <w:szCs w:val="24"/>
          <w:lang w:val="it-IT" w:eastAsia="it-IT"/>
        </w:rPr>
        <w:t>. Retrieved from http://arxiv.org/abs/1607.01367</w:t>
      </w:r>
    </w:p>
    <w:p w14:paraId="3565A7F4"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Epskamp, S., Kruis, J., &amp; Marsman, M. (2017). Estimating psychopathological networks: Be careful what you wish for. </w:t>
      </w:r>
      <w:r w:rsidRPr="00FB206C">
        <w:rPr>
          <w:rFonts w:ascii="Times New Roman" w:hAnsi="Times New Roman"/>
          <w:i/>
          <w:iCs/>
          <w:sz w:val="24"/>
          <w:szCs w:val="24"/>
          <w:lang w:val="it-IT" w:eastAsia="it-IT"/>
        </w:rPr>
        <w:t>PLOS ONE</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12</w:t>
      </w:r>
      <w:r w:rsidRPr="00FB206C">
        <w:rPr>
          <w:rFonts w:ascii="Times New Roman" w:hAnsi="Times New Roman"/>
          <w:sz w:val="24"/>
          <w:szCs w:val="24"/>
          <w:lang w:val="it-IT" w:eastAsia="it-IT"/>
        </w:rPr>
        <w:t>(6), e0179891. https://doi.org/10.1371/journal.pone.0179891</w:t>
      </w:r>
    </w:p>
    <w:p w14:paraId="17E91482"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Epskamp, S., Rhemtulla, M., &amp; Borsboom, D. (2017). Generalized Network Psychometrics: Combining Network and Latent Variable Models. </w:t>
      </w:r>
      <w:r w:rsidRPr="00FB206C">
        <w:rPr>
          <w:rFonts w:ascii="Times New Roman" w:hAnsi="Times New Roman"/>
          <w:i/>
          <w:iCs/>
          <w:sz w:val="24"/>
          <w:szCs w:val="24"/>
          <w:lang w:val="it-IT" w:eastAsia="it-IT"/>
        </w:rPr>
        <w:t>Psychometrika</w:t>
      </w:r>
      <w:r w:rsidRPr="00FB206C">
        <w:rPr>
          <w:rFonts w:ascii="Times New Roman" w:hAnsi="Times New Roman"/>
          <w:sz w:val="24"/>
          <w:szCs w:val="24"/>
          <w:lang w:val="it-IT" w:eastAsia="it-IT"/>
        </w:rPr>
        <w:t>. https://doi.org/10.1007/s11336-017-9557-x</w:t>
      </w:r>
    </w:p>
    <w:p w14:paraId="63C48309"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lastRenderedPageBreak/>
        <w:t xml:space="preserve">Epskamp, S., Waldorp, L. J., Mõttus, R., &amp; Borsboom, D. (2017). Discovering psychological dynamics: The Gaussian graphical model in cross-sectional and time-series data. </w:t>
      </w:r>
      <w:r w:rsidRPr="00FB206C">
        <w:rPr>
          <w:rFonts w:ascii="Times New Roman" w:hAnsi="Times New Roman"/>
          <w:i/>
          <w:iCs/>
          <w:sz w:val="24"/>
          <w:szCs w:val="24"/>
          <w:lang w:val="it-IT" w:eastAsia="it-IT"/>
        </w:rPr>
        <w:t>arXiv Preprint arXiv</w:t>
      </w:r>
      <w:r w:rsidRPr="00FB206C">
        <w:rPr>
          <w:rFonts w:ascii="Times New Roman" w:hAnsi="Times New Roman"/>
          <w:sz w:val="24"/>
          <w:szCs w:val="24"/>
          <w:lang w:val="it-IT" w:eastAsia="it-IT"/>
        </w:rPr>
        <w:t>. Retrieved from https://arxiv.org/abs/1609.04156</w:t>
      </w:r>
    </w:p>
    <w:p w14:paraId="04E3D8E0"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Freese, J. (2016). What we talk about when we talk about causes: The case of personality traits. </w:t>
      </w:r>
      <w:r w:rsidRPr="00FB206C">
        <w:rPr>
          <w:rFonts w:ascii="Times New Roman" w:hAnsi="Times New Roman"/>
          <w:i/>
          <w:iCs/>
          <w:sz w:val="24"/>
          <w:szCs w:val="24"/>
          <w:lang w:val="it-IT" w:eastAsia="it-IT"/>
        </w:rPr>
        <w:t>European Journal of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30</w:t>
      </w:r>
      <w:r w:rsidRPr="00FB206C">
        <w:rPr>
          <w:rFonts w:ascii="Times New Roman" w:hAnsi="Times New Roman"/>
          <w:sz w:val="24"/>
          <w:szCs w:val="24"/>
          <w:lang w:val="it-IT" w:eastAsia="it-IT"/>
        </w:rPr>
        <w:t>, 313–315. https://doi.org/10.1002/per.2060</w:t>
      </w:r>
    </w:p>
    <w:p w14:paraId="3403AC5E"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Freitas, A. L., Gollwitzer, P. M., &amp; Trope, Y. (2004). The influence of abstract and concrete mindsets on anticipating and guiding others’ self-regulatory efforts. </w:t>
      </w:r>
      <w:r w:rsidRPr="00FB206C">
        <w:rPr>
          <w:rFonts w:ascii="Times New Roman" w:hAnsi="Times New Roman"/>
          <w:i/>
          <w:iCs/>
          <w:sz w:val="24"/>
          <w:szCs w:val="24"/>
          <w:lang w:val="it-IT" w:eastAsia="it-IT"/>
        </w:rPr>
        <w:t>Journal of Experimental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40</w:t>
      </w:r>
      <w:r w:rsidRPr="00FB206C">
        <w:rPr>
          <w:rFonts w:ascii="Times New Roman" w:hAnsi="Times New Roman"/>
          <w:sz w:val="24"/>
          <w:szCs w:val="24"/>
          <w:lang w:val="it-IT" w:eastAsia="it-IT"/>
        </w:rPr>
        <w:t>(6), 739–752. https://doi.org/10.1016/j.jesp.2004.04.003</w:t>
      </w:r>
    </w:p>
    <w:p w14:paraId="0BF86553"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French, D. P., &amp; Sutton, S. (2010). Reactivity of measurement in health psychology: How much of a problem is it? What can be done about it? </w:t>
      </w:r>
      <w:r w:rsidRPr="00FB206C">
        <w:rPr>
          <w:rFonts w:ascii="Times New Roman" w:hAnsi="Times New Roman"/>
          <w:i/>
          <w:iCs/>
          <w:sz w:val="24"/>
          <w:szCs w:val="24"/>
          <w:lang w:val="it-IT" w:eastAsia="it-IT"/>
        </w:rPr>
        <w:t>British Journal of Health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15</w:t>
      </w:r>
      <w:r w:rsidRPr="00FB206C">
        <w:rPr>
          <w:rFonts w:ascii="Times New Roman" w:hAnsi="Times New Roman"/>
          <w:sz w:val="24"/>
          <w:szCs w:val="24"/>
          <w:lang w:val="it-IT" w:eastAsia="it-IT"/>
        </w:rPr>
        <w:t>(3), 453–468. https://doi.org/10.1348/135910710X492341</w:t>
      </w:r>
    </w:p>
    <w:p w14:paraId="5353C617"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Friedman, H. S., &amp; Kern, M. L. (2014). Personality, well-being, and health. </w:t>
      </w:r>
      <w:r w:rsidRPr="00FB206C">
        <w:rPr>
          <w:rFonts w:ascii="Times New Roman" w:hAnsi="Times New Roman"/>
          <w:i/>
          <w:iCs/>
          <w:sz w:val="24"/>
          <w:szCs w:val="24"/>
          <w:lang w:val="it-IT" w:eastAsia="it-IT"/>
        </w:rPr>
        <w:t>Annual Review of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65</w:t>
      </w:r>
      <w:r w:rsidRPr="00FB206C">
        <w:rPr>
          <w:rFonts w:ascii="Times New Roman" w:hAnsi="Times New Roman"/>
          <w:sz w:val="24"/>
          <w:szCs w:val="24"/>
          <w:lang w:val="it-IT" w:eastAsia="it-IT"/>
        </w:rPr>
        <w:t>, 719–742. https://doi.org/10.1146/annurev-psych-010213-115123</w:t>
      </w:r>
    </w:p>
    <w:p w14:paraId="4FE34F40"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Friese, M., Frankenbach, J., Job, V., &amp; Loschelder, D. D. (2017). Does Self-Control Training Improve Self-Control? A Meta-Analysis. </w:t>
      </w:r>
      <w:r w:rsidRPr="00FB206C">
        <w:rPr>
          <w:rFonts w:ascii="Times New Roman" w:hAnsi="Times New Roman"/>
          <w:i/>
          <w:iCs/>
          <w:sz w:val="24"/>
          <w:szCs w:val="24"/>
          <w:lang w:val="it-IT" w:eastAsia="it-IT"/>
        </w:rPr>
        <w:t>Perspectives on Psychological Science</w:t>
      </w:r>
      <w:r w:rsidRPr="00FB206C">
        <w:rPr>
          <w:rFonts w:ascii="Times New Roman" w:hAnsi="Times New Roman"/>
          <w:sz w:val="24"/>
          <w:szCs w:val="24"/>
          <w:lang w:val="it-IT" w:eastAsia="it-IT"/>
        </w:rPr>
        <w:t>. https://doi.org/10.1177/1745691617697076</w:t>
      </w:r>
    </w:p>
    <w:p w14:paraId="5E641D7E"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Fujita, K. (2011). On conceptualizing self-control as more than the effortful inhibition of impulses. </w:t>
      </w:r>
      <w:r w:rsidRPr="00FB206C">
        <w:rPr>
          <w:rFonts w:ascii="Times New Roman" w:hAnsi="Times New Roman"/>
          <w:i/>
          <w:iCs/>
          <w:sz w:val="24"/>
          <w:szCs w:val="24"/>
          <w:lang w:val="it-IT" w:eastAsia="it-IT"/>
        </w:rPr>
        <w:t>Personality and Social Psychology Review</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15</w:t>
      </w:r>
      <w:r w:rsidRPr="00FB206C">
        <w:rPr>
          <w:rFonts w:ascii="Times New Roman" w:hAnsi="Times New Roman"/>
          <w:sz w:val="24"/>
          <w:szCs w:val="24"/>
          <w:lang w:val="it-IT" w:eastAsia="it-IT"/>
        </w:rPr>
        <w:t>(4), 352–366. https://doi.org/10.1177/1088868311411165</w:t>
      </w:r>
    </w:p>
    <w:p w14:paraId="41CC6368"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Fujita, K., &amp; Carnevale, J. J. (2012). Transcending temptation through abstraction: The role of construal level in self-control. </w:t>
      </w:r>
      <w:r>
        <w:rPr>
          <w:rFonts w:ascii="Times New Roman" w:hAnsi="Times New Roman"/>
          <w:i/>
          <w:iCs/>
          <w:sz w:val="24"/>
          <w:szCs w:val="24"/>
          <w:lang w:val="fr-FR" w:eastAsia="it-IT"/>
        </w:rPr>
        <w:t>Current Directions in Psychological Science</w:t>
      </w:r>
      <w:r>
        <w:rPr>
          <w:rFonts w:ascii="Times New Roman" w:hAnsi="Times New Roman"/>
          <w:sz w:val="24"/>
          <w:szCs w:val="24"/>
          <w:lang w:val="fr-FR" w:eastAsia="it-IT"/>
        </w:rPr>
        <w:t xml:space="preserve">, </w:t>
      </w:r>
      <w:r>
        <w:rPr>
          <w:rFonts w:ascii="Times New Roman" w:hAnsi="Times New Roman"/>
          <w:i/>
          <w:iCs/>
          <w:sz w:val="24"/>
          <w:szCs w:val="24"/>
          <w:lang w:val="fr-FR" w:eastAsia="it-IT"/>
        </w:rPr>
        <w:t>21</w:t>
      </w:r>
      <w:r>
        <w:rPr>
          <w:rFonts w:ascii="Times New Roman" w:hAnsi="Times New Roman"/>
          <w:sz w:val="24"/>
          <w:szCs w:val="24"/>
          <w:lang w:val="fr-FR" w:eastAsia="it-IT"/>
        </w:rPr>
        <w:t>(4), 248–252. https://doi.org/10.1177/0963721412449169</w:t>
      </w:r>
    </w:p>
    <w:p w14:paraId="590E778E" w14:textId="77777777" w:rsidR="00061155" w:rsidRDefault="00061155">
      <w:pPr>
        <w:widowControl w:val="0"/>
        <w:autoSpaceDE w:val="0"/>
        <w:spacing w:line="480" w:lineRule="auto"/>
        <w:ind w:left="480" w:hanging="480"/>
      </w:pPr>
      <w:r>
        <w:rPr>
          <w:rFonts w:ascii="Times New Roman" w:hAnsi="Times New Roman"/>
          <w:sz w:val="24"/>
          <w:szCs w:val="24"/>
          <w:lang w:val="fr-FR" w:eastAsia="it-IT"/>
        </w:rPr>
        <w:t xml:space="preserve">Fujita, K., &amp; Roberts, J. C. (2010). </w:t>
      </w:r>
      <w:r w:rsidRPr="00FB206C">
        <w:rPr>
          <w:rFonts w:ascii="Times New Roman" w:hAnsi="Times New Roman"/>
          <w:sz w:val="24"/>
          <w:szCs w:val="24"/>
          <w:lang w:val="it-IT" w:eastAsia="it-IT"/>
        </w:rPr>
        <w:t xml:space="preserve">Promoting prospective self-control through abstraction. </w:t>
      </w:r>
      <w:r w:rsidRPr="00FB206C">
        <w:rPr>
          <w:rFonts w:ascii="Times New Roman" w:hAnsi="Times New Roman"/>
          <w:i/>
          <w:iCs/>
          <w:sz w:val="24"/>
          <w:szCs w:val="24"/>
          <w:lang w:val="it-IT" w:eastAsia="it-IT"/>
        </w:rPr>
        <w:t>Journal of Experimental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46</w:t>
      </w:r>
      <w:r w:rsidRPr="00FB206C">
        <w:rPr>
          <w:rFonts w:ascii="Times New Roman" w:hAnsi="Times New Roman"/>
          <w:sz w:val="24"/>
          <w:szCs w:val="24"/>
          <w:lang w:val="it-IT" w:eastAsia="it-IT"/>
        </w:rPr>
        <w:t>(6), 1049–1054. https://doi.org/10.1016/j.jesp.2010.05.013</w:t>
      </w:r>
    </w:p>
    <w:p w14:paraId="1B0D5635" w14:textId="77777777" w:rsidR="00061155" w:rsidRDefault="00061155">
      <w:pPr>
        <w:widowControl w:val="0"/>
        <w:autoSpaceDE w:val="0"/>
        <w:spacing w:line="480" w:lineRule="auto"/>
        <w:ind w:left="480" w:hanging="480"/>
      </w:pPr>
      <w:r>
        <w:rPr>
          <w:rFonts w:ascii="Times New Roman" w:hAnsi="Times New Roman"/>
          <w:sz w:val="24"/>
          <w:szCs w:val="24"/>
          <w:lang w:val="it-IT" w:eastAsia="it-IT"/>
        </w:rPr>
        <w:t xml:space="preserve">Fujita, K., Trope, Y., Liberman, N., &amp; Levin-Sagi, M. (2006). </w:t>
      </w:r>
      <w:r w:rsidRPr="00FB206C">
        <w:rPr>
          <w:rFonts w:ascii="Times New Roman" w:hAnsi="Times New Roman"/>
          <w:sz w:val="24"/>
          <w:szCs w:val="24"/>
          <w:lang w:val="it-IT" w:eastAsia="it-IT"/>
        </w:rPr>
        <w:t xml:space="preserve">Construal levels and self-control. </w:t>
      </w:r>
      <w:r w:rsidRPr="00FB206C">
        <w:rPr>
          <w:rFonts w:ascii="Times New Roman" w:hAnsi="Times New Roman"/>
          <w:i/>
          <w:iCs/>
          <w:sz w:val="24"/>
          <w:szCs w:val="24"/>
          <w:lang w:val="it-IT" w:eastAsia="it-IT"/>
        </w:rPr>
        <w:lastRenderedPageBreak/>
        <w:t>Journal of Personality and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90</w:t>
      </w:r>
      <w:r w:rsidRPr="00FB206C">
        <w:rPr>
          <w:rFonts w:ascii="Times New Roman" w:hAnsi="Times New Roman"/>
          <w:sz w:val="24"/>
          <w:szCs w:val="24"/>
          <w:lang w:val="it-IT" w:eastAsia="it-IT"/>
        </w:rPr>
        <w:t>(3), 351–367. https://doi.org/10.1037/0022-3514.90.3.351</w:t>
      </w:r>
    </w:p>
    <w:p w14:paraId="69B0FE00"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Galla, B. M., &amp; Duckworth, A. L. (2015). More than resisting temptation: Beneficial habits mediate the relationship between self-control and positive life outcomes. </w:t>
      </w:r>
      <w:r w:rsidRPr="00FB206C">
        <w:rPr>
          <w:rFonts w:ascii="Times New Roman" w:hAnsi="Times New Roman"/>
          <w:i/>
          <w:iCs/>
          <w:sz w:val="24"/>
          <w:szCs w:val="24"/>
          <w:lang w:val="it-IT" w:eastAsia="it-IT"/>
        </w:rPr>
        <w:t>Journal of Personality and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109</w:t>
      </w:r>
      <w:r w:rsidRPr="00FB206C">
        <w:rPr>
          <w:rFonts w:ascii="Times New Roman" w:hAnsi="Times New Roman"/>
          <w:sz w:val="24"/>
          <w:szCs w:val="24"/>
          <w:lang w:val="it-IT" w:eastAsia="it-IT"/>
        </w:rPr>
        <w:t>(3), 508–525. https://doi.org/10.1037/pspp0000026</w:t>
      </w:r>
    </w:p>
    <w:p w14:paraId="460D4288"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Gillebaart, M., &amp; de Ridder, D. T. D. (2015). Effortless self-control: A novel perspective on response conflict strategies in trait self-control. </w:t>
      </w:r>
      <w:r w:rsidRPr="00FB206C">
        <w:rPr>
          <w:rFonts w:ascii="Times New Roman" w:hAnsi="Times New Roman"/>
          <w:i/>
          <w:iCs/>
          <w:sz w:val="24"/>
          <w:szCs w:val="24"/>
          <w:lang w:val="it-IT" w:eastAsia="it-IT"/>
        </w:rPr>
        <w:t>Social and Personality Psychology Compass</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9</w:t>
      </w:r>
      <w:r w:rsidRPr="00FB206C">
        <w:rPr>
          <w:rFonts w:ascii="Times New Roman" w:hAnsi="Times New Roman"/>
          <w:sz w:val="24"/>
          <w:szCs w:val="24"/>
          <w:lang w:val="it-IT" w:eastAsia="it-IT"/>
        </w:rPr>
        <w:t>(2), 88–99. https://doi.org/10.1111/spc3.12160</w:t>
      </w:r>
    </w:p>
    <w:p w14:paraId="05BE30E7"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Goldberg, L. R. (1999). A broad-bandwidth, public-domain, personality inventory measuring the lower-level facets of several Five-Factor models. In I. Merivelde, I. J. Deary, F. De Fruyt, &amp; F. Ostendorf (Eds.), </w:t>
      </w:r>
      <w:r w:rsidRPr="00FB206C">
        <w:rPr>
          <w:rFonts w:ascii="Times New Roman" w:hAnsi="Times New Roman"/>
          <w:i/>
          <w:iCs/>
          <w:sz w:val="24"/>
          <w:szCs w:val="24"/>
          <w:lang w:val="it-IT" w:eastAsia="it-IT"/>
        </w:rPr>
        <w:t>Personality Psychology in Europe</w:t>
      </w:r>
      <w:r w:rsidRPr="00FB206C">
        <w:rPr>
          <w:rFonts w:ascii="Times New Roman" w:hAnsi="Times New Roman"/>
          <w:sz w:val="24"/>
          <w:szCs w:val="24"/>
          <w:lang w:val="it-IT" w:eastAsia="it-IT"/>
        </w:rPr>
        <w:t xml:space="preserve"> (pp. 7–28). Tilburg: Tilburg University Press.</w:t>
      </w:r>
    </w:p>
    <w:p w14:paraId="6C66CB0F"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Goldberg, L. R., Johnson, J. A., Eber, H. W., Hogan, R., Ashton, M. C., Cloninger, C. R., &amp; Gough, H. G. (2006). The international personality item pool and the future of public-domain personality measures. </w:t>
      </w:r>
      <w:r w:rsidRPr="00FB206C">
        <w:rPr>
          <w:rFonts w:ascii="Times New Roman" w:hAnsi="Times New Roman"/>
          <w:i/>
          <w:iCs/>
          <w:sz w:val="24"/>
          <w:szCs w:val="24"/>
          <w:lang w:val="it-IT" w:eastAsia="it-IT"/>
        </w:rPr>
        <w:t>Journal of Research in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40</w:t>
      </w:r>
      <w:r w:rsidRPr="00FB206C">
        <w:rPr>
          <w:rFonts w:ascii="Times New Roman" w:hAnsi="Times New Roman"/>
          <w:sz w:val="24"/>
          <w:szCs w:val="24"/>
          <w:lang w:val="it-IT" w:eastAsia="it-IT"/>
        </w:rPr>
        <w:t>(1), 84–96. https://doi.org/10.1016/j.jrp.2005.08.007</w:t>
      </w:r>
    </w:p>
    <w:p w14:paraId="3E88E0AE" w14:textId="77777777" w:rsidR="00061155" w:rsidRDefault="00061155">
      <w:pPr>
        <w:widowControl w:val="0"/>
        <w:autoSpaceDE w:val="0"/>
        <w:spacing w:line="480" w:lineRule="auto"/>
        <w:ind w:left="480" w:hanging="480"/>
      </w:pPr>
      <w:r>
        <w:rPr>
          <w:rFonts w:ascii="Times New Roman" w:hAnsi="Times New Roman"/>
          <w:sz w:val="24"/>
          <w:szCs w:val="24"/>
          <w:lang w:val="it-IT" w:eastAsia="it-IT"/>
        </w:rPr>
        <w:t xml:space="preserve">Hagger, M. S., &amp; Chatzisarantis, N. L. D. (2016). </w:t>
      </w:r>
      <w:r w:rsidRPr="00FB206C">
        <w:rPr>
          <w:rFonts w:ascii="Times New Roman" w:hAnsi="Times New Roman"/>
          <w:sz w:val="24"/>
          <w:szCs w:val="24"/>
          <w:lang w:val="it-IT" w:eastAsia="it-IT"/>
        </w:rPr>
        <w:t xml:space="preserve">A multilab preregistered replication of the ego-depletion effect. </w:t>
      </w:r>
      <w:r w:rsidRPr="00FB206C">
        <w:rPr>
          <w:rFonts w:ascii="Times New Roman" w:hAnsi="Times New Roman"/>
          <w:i/>
          <w:iCs/>
          <w:sz w:val="24"/>
          <w:szCs w:val="24"/>
          <w:lang w:val="it-IT" w:eastAsia="it-IT"/>
        </w:rPr>
        <w:t>Perspectives on Psychological Science</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11</w:t>
      </w:r>
      <w:r w:rsidRPr="00FB206C">
        <w:rPr>
          <w:rFonts w:ascii="Times New Roman" w:hAnsi="Times New Roman"/>
          <w:sz w:val="24"/>
          <w:szCs w:val="24"/>
          <w:lang w:val="it-IT" w:eastAsia="it-IT"/>
        </w:rPr>
        <w:t>(4), 546–573. https://doi.org/10.1177/1745691616652873</w:t>
      </w:r>
    </w:p>
    <w:p w14:paraId="24205226"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Hagger, M. S., Wood, C., Stiff, C., &amp; Chatzisarantis, N. L. D. (2010). Ego depletion and the strength model of self-control: a meta-analysis. </w:t>
      </w:r>
      <w:r w:rsidRPr="00FB206C">
        <w:rPr>
          <w:rFonts w:ascii="Times New Roman" w:hAnsi="Times New Roman"/>
          <w:i/>
          <w:iCs/>
          <w:sz w:val="24"/>
          <w:szCs w:val="24"/>
          <w:lang w:val="it-IT" w:eastAsia="it-IT"/>
        </w:rPr>
        <w:t>Psychological Bulletin</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136</w:t>
      </w:r>
      <w:r w:rsidRPr="00FB206C">
        <w:rPr>
          <w:rFonts w:ascii="Times New Roman" w:hAnsi="Times New Roman"/>
          <w:sz w:val="24"/>
          <w:szCs w:val="24"/>
          <w:lang w:val="it-IT" w:eastAsia="it-IT"/>
        </w:rPr>
        <w:t>(4), 495–525. https://doi.org/10.1037/a0019486</w:t>
      </w:r>
    </w:p>
    <w:p w14:paraId="06FC349B"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Haslbeck, J. M. B., &amp; Waldorp, L. (2017). How well do network models predict future observations? On the importance of predictability in network models. </w:t>
      </w:r>
      <w:r w:rsidRPr="00FB206C">
        <w:rPr>
          <w:rFonts w:ascii="Times New Roman" w:hAnsi="Times New Roman"/>
          <w:i/>
          <w:iCs/>
          <w:sz w:val="24"/>
          <w:szCs w:val="24"/>
          <w:lang w:val="it-IT" w:eastAsia="it-IT"/>
        </w:rPr>
        <w:t>Behavioral Research Methods</w:t>
      </w:r>
      <w:r w:rsidRPr="00FB206C">
        <w:rPr>
          <w:rFonts w:ascii="Times New Roman" w:hAnsi="Times New Roman"/>
          <w:sz w:val="24"/>
          <w:szCs w:val="24"/>
          <w:lang w:val="it-IT" w:eastAsia="it-IT"/>
        </w:rPr>
        <w:t>, 1–9. https://doi.org/10.3758/s13428-017-0910-x</w:t>
      </w:r>
    </w:p>
    <w:p w14:paraId="147AC5A6"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Hedström, P., &amp; Ylikoski, P. (2010). Causal mechanisms in the social sciences. </w:t>
      </w:r>
      <w:r w:rsidRPr="00FB206C">
        <w:rPr>
          <w:rFonts w:ascii="Times New Roman" w:hAnsi="Times New Roman"/>
          <w:i/>
          <w:iCs/>
          <w:sz w:val="24"/>
          <w:szCs w:val="24"/>
          <w:lang w:val="it-IT" w:eastAsia="it-IT"/>
        </w:rPr>
        <w:t xml:space="preserve">Annual Review of </w:t>
      </w:r>
      <w:r w:rsidRPr="00FB206C">
        <w:rPr>
          <w:rFonts w:ascii="Times New Roman" w:hAnsi="Times New Roman"/>
          <w:i/>
          <w:iCs/>
          <w:sz w:val="24"/>
          <w:szCs w:val="24"/>
          <w:lang w:val="it-IT" w:eastAsia="it-IT"/>
        </w:rPr>
        <w:lastRenderedPageBreak/>
        <w:t>Sociology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36</w:t>
      </w:r>
      <w:r w:rsidRPr="00FB206C">
        <w:rPr>
          <w:rFonts w:ascii="Times New Roman" w:hAnsi="Times New Roman"/>
          <w:sz w:val="24"/>
          <w:szCs w:val="24"/>
          <w:lang w:val="it-IT" w:eastAsia="it-IT"/>
        </w:rPr>
        <w:t>(1), 49–67. https://doi.org/10.1146/annurev.soc.012809.102632</w:t>
      </w:r>
    </w:p>
    <w:p w14:paraId="44FD32A4"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Hennecke, M., Bleidorn, W., Denissen, J. J. A., &amp; Wood, D. (2014). A three-part framework for self-regulated personality development across adulthood. </w:t>
      </w:r>
      <w:r w:rsidRPr="00FB206C">
        <w:rPr>
          <w:rFonts w:ascii="Times New Roman" w:hAnsi="Times New Roman"/>
          <w:i/>
          <w:iCs/>
          <w:sz w:val="24"/>
          <w:szCs w:val="24"/>
          <w:lang w:val="it-IT" w:eastAsia="it-IT"/>
        </w:rPr>
        <w:t>European Journal of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28</w:t>
      </w:r>
      <w:r w:rsidRPr="00FB206C">
        <w:rPr>
          <w:rFonts w:ascii="Times New Roman" w:hAnsi="Times New Roman"/>
          <w:sz w:val="24"/>
          <w:szCs w:val="24"/>
          <w:lang w:val="it-IT" w:eastAsia="it-IT"/>
        </w:rPr>
        <w:t>(3), 289–299. https://doi.org/10.1002/per.1945</w:t>
      </w:r>
    </w:p>
    <w:p w14:paraId="408CA667"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Heron, K. E., &amp; Smyth, J. M. (2010). Ecological momentary interventions: Incorporating mobile technology into psychosocial and health behaviour treatments. </w:t>
      </w:r>
      <w:r w:rsidRPr="00FB206C">
        <w:rPr>
          <w:rFonts w:ascii="Times New Roman" w:hAnsi="Times New Roman"/>
          <w:i/>
          <w:iCs/>
          <w:sz w:val="24"/>
          <w:szCs w:val="24"/>
          <w:lang w:val="it-IT" w:eastAsia="it-IT"/>
        </w:rPr>
        <w:t>British Journal of Health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15</w:t>
      </w:r>
      <w:r w:rsidRPr="00FB206C">
        <w:rPr>
          <w:rFonts w:ascii="Times New Roman" w:hAnsi="Times New Roman"/>
          <w:sz w:val="24"/>
          <w:szCs w:val="24"/>
          <w:lang w:val="it-IT" w:eastAsia="it-IT"/>
        </w:rPr>
        <w:t>(1), 1–39. https://doi.org/10.1348/135910709X466063</w:t>
      </w:r>
    </w:p>
    <w:p w14:paraId="6ED89BAD"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Hofmann, W., Baumeister, R. F., Förster, G., &amp; Vohs, K. D. (2012). Everyday temptations: an experience sampling study of desire, conflict, and self-control. </w:t>
      </w:r>
      <w:r w:rsidRPr="00FB206C">
        <w:rPr>
          <w:rFonts w:ascii="Times New Roman" w:hAnsi="Times New Roman"/>
          <w:i/>
          <w:iCs/>
          <w:sz w:val="24"/>
          <w:szCs w:val="24"/>
          <w:lang w:val="it-IT" w:eastAsia="it-IT"/>
        </w:rPr>
        <w:t>Journal of Personality and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102</w:t>
      </w:r>
      <w:r w:rsidRPr="00FB206C">
        <w:rPr>
          <w:rFonts w:ascii="Times New Roman" w:hAnsi="Times New Roman"/>
          <w:sz w:val="24"/>
          <w:szCs w:val="24"/>
          <w:lang w:val="it-IT" w:eastAsia="it-IT"/>
        </w:rPr>
        <w:t>(6), 1318–35. https://doi.org/10.1037/a0026545</w:t>
      </w:r>
    </w:p>
    <w:p w14:paraId="06D92906"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Hogan, R., &amp; Foster, J. (2016). Rethinking personality. </w:t>
      </w:r>
      <w:r w:rsidRPr="00FB206C">
        <w:rPr>
          <w:rFonts w:ascii="Times New Roman" w:hAnsi="Times New Roman"/>
          <w:i/>
          <w:iCs/>
          <w:sz w:val="24"/>
          <w:szCs w:val="24"/>
          <w:lang w:val="it-IT" w:eastAsia="it-IT"/>
        </w:rPr>
        <w:t>International Journal of Personality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2</w:t>
      </w:r>
      <w:r w:rsidRPr="00FB206C">
        <w:rPr>
          <w:rFonts w:ascii="Times New Roman" w:hAnsi="Times New Roman"/>
          <w:sz w:val="24"/>
          <w:szCs w:val="24"/>
          <w:lang w:val="it-IT" w:eastAsia="it-IT"/>
        </w:rPr>
        <w:t>(1), 37–43.</w:t>
      </w:r>
    </w:p>
    <w:p w14:paraId="54077151" w14:textId="77777777" w:rsidR="00061155" w:rsidRDefault="00061155">
      <w:pPr>
        <w:widowControl w:val="0"/>
        <w:autoSpaceDE w:val="0"/>
        <w:spacing w:line="480" w:lineRule="auto"/>
        <w:ind w:left="480" w:hanging="480"/>
        <w:rPr>
          <w:rFonts w:ascii="Times New Roman" w:eastAsia="Times New Roman" w:hAnsi="Times New Roman"/>
          <w:sz w:val="24"/>
          <w:szCs w:val="24"/>
          <w:lang w:eastAsia="it-IT"/>
        </w:rPr>
      </w:pPr>
      <w:r w:rsidRPr="00FB206C">
        <w:rPr>
          <w:rFonts w:ascii="Times New Roman" w:hAnsi="Times New Roman"/>
          <w:sz w:val="24"/>
          <w:szCs w:val="24"/>
          <w:lang w:val="it-IT" w:eastAsia="it-IT"/>
        </w:rPr>
        <w:t xml:space="preserve">Hou, X., Allen, T. A., Wei, D., Huang, H., Wang, K., DeYoung, C. G., &amp; Qiu, J. (2017). Trait compassion is associated with the neural substrate of empathy. </w:t>
      </w:r>
      <w:r w:rsidRPr="00FB206C">
        <w:rPr>
          <w:rFonts w:ascii="Times New Roman" w:hAnsi="Times New Roman"/>
          <w:i/>
          <w:iCs/>
          <w:sz w:val="24"/>
          <w:szCs w:val="24"/>
          <w:lang w:val="it-IT" w:eastAsia="it-IT"/>
        </w:rPr>
        <w:t>Cognitive, Affective, &amp; Behavioral Neuroscience</w:t>
      </w:r>
      <w:r w:rsidRPr="00FB206C">
        <w:rPr>
          <w:rFonts w:ascii="Times New Roman" w:hAnsi="Times New Roman"/>
          <w:sz w:val="24"/>
          <w:szCs w:val="24"/>
          <w:lang w:val="it-IT" w:eastAsia="it-IT"/>
        </w:rPr>
        <w:t xml:space="preserve">. </w:t>
      </w:r>
      <w:hyperlink r:id="rId16" w:history="1">
        <w:r w:rsidRPr="00FB206C">
          <w:rPr>
            <w:rStyle w:val="Collegamentoipertestuale"/>
            <w:rFonts w:ascii="Times New Roman" w:hAnsi="Times New Roman"/>
            <w:sz w:val="24"/>
            <w:szCs w:val="24"/>
            <w:lang w:val="it-IT" w:eastAsia="it-IT"/>
          </w:rPr>
          <w:t>https://doi.org/10.3758/s13415-017-0529-5</w:t>
        </w:r>
      </w:hyperlink>
    </w:p>
    <w:p w14:paraId="3C931BB9" w14:textId="77777777" w:rsidR="00061155" w:rsidRDefault="00061155">
      <w:pPr>
        <w:widowControl w:val="0"/>
        <w:autoSpaceDE w:val="0"/>
        <w:spacing w:line="480" w:lineRule="auto"/>
        <w:ind w:left="480" w:hanging="480"/>
      </w:pPr>
      <w:r>
        <w:rPr>
          <w:rFonts w:ascii="Times New Roman" w:eastAsia="Times New Roman" w:hAnsi="Times New Roman"/>
          <w:sz w:val="24"/>
          <w:szCs w:val="24"/>
          <w:lang w:eastAsia="it-IT"/>
        </w:rPr>
        <w:t xml:space="preserve">Hudson, N. W., &amp; </w:t>
      </w:r>
      <w:r w:rsidRPr="00FB206C">
        <w:rPr>
          <w:rFonts w:ascii="Times New Roman" w:hAnsi="Times New Roman"/>
          <w:sz w:val="24"/>
          <w:szCs w:val="24"/>
          <w:lang w:val="it-IT" w:eastAsia="it-IT"/>
        </w:rPr>
        <w:t>Roberts</w:t>
      </w:r>
      <w:r>
        <w:rPr>
          <w:rFonts w:ascii="Times New Roman" w:eastAsia="Times New Roman" w:hAnsi="Times New Roman"/>
          <w:sz w:val="24"/>
          <w:szCs w:val="24"/>
          <w:lang w:eastAsia="it-IT"/>
        </w:rPr>
        <w:t xml:space="preserve">, B. W. (2014). Goals to change personality traits: Concurrent links between personality traits, daily behavior, and goals to change oneself. </w:t>
      </w:r>
      <w:r>
        <w:rPr>
          <w:rFonts w:ascii="Times New Roman" w:eastAsia="Times New Roman" w:hAnsi="Times New Roman"/>
          <w:i/>
          <w:iCs/>
          <w:sz w:val="24"/>
          <w:szCs w:val="24"/>
          <w:lang w:eastAsia="it-IT"/>
        </w:rPr>
        <w:t>Journal of Research in Personality</w:t>
      </w:r>
      <w:r>
        <w:rPr>
          <w:rFonts w:ascii="Times New Roman" w:eastAsia="Times New Roman" w:hAnsi="Times New Roman"/>
          <w:sz w:val="24"/>
          <w:szCs w:val="24"/>
          <w:lang w:eastAsia="it-IT"/>
        </w:rPr>
        <w:t xml:space="preserve">, </w:t>
      </w:r>
      <w:r>
        <w:rPr>
          <w:rFonts w:ascii="Times New Roman" w:eastAsia="Times New Roman" w:hAnsi="Times New Roman"/>
          <w:i/>
          <w:iCs/>
          <w:sz w:val="24"/>
          <w:szCs w:val="24"/>
          <w:lang w:eastAsia="it-IT"/>
        </w:rPr>
        <w:t>53</w:t>
      </w:r>
      <w:r>
        <w:rPr>
          <w:rFonts w:ascii="Times New Roman" w:eastAsia="Times New Roman" w:hAnsi="Times New Roman"/>
          <w:sz w:val="24"/>
          <w:szCs w:val="24"/>
          <w:lang w:eastAsia="it-IT"/>
        </w:rPr>
        <w:t>, 68–83. https://doi.org/10.1016/j.jrp.2014.08.008</w:t>
      </w:r>
    </w:p>
    <w:p w14:paraId="729B663D"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Imhoff, R., Schmidt, A. F., &amp; Gerstenberg, F. (2014). Exploring the interplay of trait self-control and ego depletion: Empirical evidence for ironic effects. </w:t>
      </w:r>
      <w:r w:rsidRPr="00FB206C">
        <w:rPr>
          <w:rFonts w:ascii="Times New Roman" w:hAnsi="Times New Roman"/>
          <w:i/>
          <w:iCs/>
          <w:sz w:val="24"/>
          <w:szCs w:val="24"/>
          <w:lang w:val="it-IT" w:eastAsia="it-IT"/>
        </w:rPr>
        <w:t>European Journal of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28</w:t>
      </w:r>
      <w:r w:rsidRPr="00FB206C">
        <w:rPr>
          <w:rFonts w:ascii="Times New Roman" w:hAnsi="Times New Roman"/>
          <w:sz w:val="24"/>
          <w:szCs w:val="24"/>
          <w:lang w:val="it-IT" w:eastAsia="it-IT"/>
        </w:rPr>
        <w:t>(5), 413–424. https://doi.org/10.1002/per.1899</w:t>
      </w:r>
    </w:p>
    <w:p w14:paraId="4EAE30CA" w14:textId="77777777" w:rsidR="00061155" w:rsidRPr="00FB206C" w:rsidRDefault="00061155">
      <w:pPr>
        <w:widowControl w:val="0"/>
        <w:autoSpaceDE w:val="0"/>
        <w:spacing w:line="480" w:lineRule="auto"/>
        <w:ind w:left="480" w:hanging="480"/>
        <w:rPr>
          <w:rFonts w:ascii="Times New Roman" w:hAnsi="Times New Roman"/>
          <w:sz w:val="24"/>
          <w:szCs w:val="24"/>
          <w:lang w:val="it-IT" w:eastAsia="it-IT"/>
        </w:rPr>
      </w:pPr>
      <w:r w:rsidRPr="00FB206C">
        <w:rPr>
          <w:rFonts w:ascii="Times New Roman" w:hAnsi="Times New Roman"/>
          <w:sz w:val="24"/>
          <w:szCs w:val="24"/>
          <w:lang w:val="it-IT" w:eastAsia="it-IT"/>
        </w:rPr>
        <w:t xml:space="preserve">Inzlicht, M., &amp; Berkman, E. (2015). Six questions for the resource model of control (and some answers). </w:t>
      </w:r>
      <w:r w:rsidRPr="00FB206C">
        <w:rPr>
          <w:rFonts w:ascii="Times New Roman" w:hAnsi="Times New Roman"/>
          <w:i/>
          <w:iCs/>
          <w:sz w:val="24"/>
          <w:szCs w:val="24"/>
          <w:lang w:val="it-IT" w:eastAsia="it-IT"/>
        </w:rPr>
        <w:t>Social and Personality Psychology Compass</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9</w:t>
      </w:r>
      <w:r w:rsidRPr="00FB206C">
        <w:rPr>
          <w:rFonts w:ascii="Times New Roman" w:hAnsi="Times New Roman"/>
          <w:sz w:val="24"/>
          <w:szCs w:val="24"/>
          <w:lang w:val="it-IT" w:eastAsia="it-IT"/>
        </w:rPr>
        <w:t xml:space="preserve">(10), 511–524. </w:t>
      </w:r>
      <w:hyperlink r:id="rId17" w:history="1">
        <w:r w:rsidRPr="00FB206C">
          <w:rPr>
            <w:rStyle w:val="Collegamentoipertestuale"/>
            <w:rFonts w:ascii="Times New Roman" w:hAnsi="Times New Roman"/>
            <w:sz w:val="24"/>
            <w:szCs w:val="24"/>
            <w:lang w:val="it-IT" w:eastAsia="it-IT"/>
          </w:rPr>
          <w:t>https://doi.org/10.1111/spc3.12200</w:t>
        </w:r>
      </w:hyperlink>
    </w:p>
    <w:p w14:paraId="0B928E54" w14:textId="77777777" w:rsidR="00061155" w:rsidRPr="00FB206C" w:rsidRDefault="00061155">
      <w:pPr>
        <w:widowControl w:val="0"/>
        <w:autoSpaceDE w:val="0"/>
        <w:spacing w:line="480" w:lineRule="auto"/>
        <w:ind w:left="480" w:hanging="480"/>
        <w:rPr>
          <w:rFonts w:ascii="Times New Roman" w:hAnsi="Times New Roman"/>
          <w:sz w:val="24"/>
          <w:szCs w:val="24"/>
          <w:lang w:val="it-IT" w:eastAsia="it-IT"/>
        </w:rPr>
      </w:pPr>
      <w:r w:rsidRPr="00FB206C">
        <w:rPr>
          <w:rFonts w:ascii="Times New Roman" w:hAnsi="Times New Roman"/>
          <w:sz w:val="24"/>
          <w:szCs w:val="24"/>
          <w:lang w:val="it-IT" w:eastAsia="it-IT"/>
        </w:rPr>
        <w:t xml:space="preserve">Jackson, J. J., Wood, D., Bogg, T., Walton, K. E., Harms, P. D., &amp; Roberts, B. W. (2010). What do conscientious people do? Development and validation of the Behavioral Indicators of </w:t>
      </w:r>
      <w:r w:rsidRPr="00FB206C">
        <w:rPr>
          <w:rFonts w:ascii="Times New Roman" w:hAnsi="Times New Roman"/>
          <w:sz w:val="24"/>
          <w:szCs w:val="24"/>
          <w:lang w:val="it-IT" w:eastAsia="it-IT"/>
        </w:rPr>
        <w:lastRenderedPageBreak/>
        <w:t xml:space="preserve">Conscientiousness (BIC). </w:t>
      </w:r>
      <w:r w:rsidRPr="00FB206C">
        <w:rPr>
          <w:rFonts w:ascii="Times New Roman" w:hAnsi="Times New Roman"/>
          <w:i/>
          <w:sz w:val="24"/>
          <w:szCs w:val="24"/>
          <w:lang w:val="it-IT" w:eastAsia="it-IT"/>
        </w:rPr>
        <w:t>Journal of Research in Personality, 44</w:t>
      </w:r>
      <w:r w:rsidRPr="00FB206C">
        <w:rPr>
          <w:rFonts w:ascii="Times New Roman" w:hAnsi="Times New Roman"/>
          <w:sz w:val="24"/>
          <w:szCs w:val="24"/>
          <w:lang w:val="it-IT" w:eastAsia="it-IT"/>
        </w:rPr>
        <w:t xml:space="preserve">(4), 501-511. </w:t>
      </w:r>
      <w:hyperlink r:id="rId18" w:history="1">
        <w:r w:rsidRPr="00FB206C">
          <w:rPr>
            <w:rStyle w:val="Collegamentoipertestuale"/>
            <w:rFonts w:ascii="Times New Roman" w:hAnsi="Times New Roman"/>
            <w:sz w:val="24"/>
            <w:szCs w:val="24"/>
            <w:lang w:val="it-IT" w:eastAsia="it-IT"/>
          </w:rPr>
          <w:t>https://doi.org/10.1016/j.jrp.2010.06.005</w:t>
        </w:r>
      </w:hyperlink>
    </w:p>
    <w:p w14:paraId="106AD0EF"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Job, V., Friese, M., &amp; Bernecker, K. (2015). Effects of practicing self-control on academic performance. </w:t>
      </w:r>
      <w:r w:rsidRPr="00FB206C">
        <w:rPr>
          <w:rFonts w:ascii="Times New Roman" w:hAnsi="Times New Roman"/>
          <w:i/>
          <w:iCs/>
          <w:sz w:val="24"/>
          <w:szCs w:val="24"/>
          <w:lang w:val="it-IT" w:eastAsia="it-IT"/>
        </w:rPr>
        <w:t>Motivation Science</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w:t>
      </w:r>
      <w:r w:rsidRPr="00FB206C">
        <w:rPr>
          <w:rFonts w:ascii="Times New Roman" w:hAnsi="Times New Roman"/>
          <w:sz w:val="24"/>
          <w:szCs w:val="24"/>
          <w:lang w:val="it-IT" w:eastAsia="it-IT"/>
        </w:rPr>
        <w:t>(4), 219–232. https://doi.org/10.1037/mot0000024</w:t>
      </w:r>
    </w:p>
    <w:p w14:paraId="6CDE1EF0"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Kruglanski, A. W., Shah, J. Y., Fishbach, A., Friedman, R., Chun, W. Y., &amp; Sleeth-Keppler, D. (2002). A theory of goal systems. </w:t>
      </w:r>
      <w:r w:rsidRPr="00FB206C">
        <w:rPr>
          <w:rFonts w:ascii="Times New Roman" w:hAnsi="Times New Roman"/>
          <w:i/>
          <w:iCs/>
          <w:sz w:val="24"/>
          <w:szCs w:val="24"/>
          <w:lang w:val="it-IT" w:eastAsia="it-IT"/>
        </w:rPr>
        <w:t>Advances in Experimental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34</w:t>
      </w:r>
      <w:r w:rsidRPr="00FB206C">
        <w:rPr>
          <w:rFonts w:ascii="Times New Roman" w:hAnsi="Times New Roman"/>
          <w:sz w:val="24"/>
          <w:szCs w:val="24"/>
          <w:lang w:val="it-IT" w:eastAsia="it-IT"/>
        </w:rPr>
        <w:t>, 331–378. https://doi.org/10.1016/S0065-2601(02)80008-9</w:t>
      </w:r>
    </w:p>
    <w:p w14:paraId="2055CD48"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Lally, P., van Jaarsveld, C. H. M., Potts, H. W. W., &amp; Wardle, J. (2010). How are habits formed: Modelling habit formation in the real world. </w:t>
      </w:r>
      <w:r w:rsidRPr="00FB206C">
        <w:rPr>
          <w:rFonts w:ascii="Times New Roman" w:hAnsi="Times New Roman"/>
          <w:i/>
          <w:iCs/>
          <w:sz w:val="24"/>
          <w:szCs w:val="24"/>
          <w:lang w:val="it-IT" w:eastAsia="it-IT"/>
        </w:rPr>
        <w:t>European Journal of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40</w:t>
      </w:r>
      <w:r w:rsidRPr="00FB206C">
        <w:rPr>
          <w:rFonts w:ascii="Times New Roman" w:hAnsi="Times New Roman"/>
          <w:sz w:val="24"/>
          <w:szCs w:val="24"/>
          <w:lang w:val="it-IT" w:eastAsia="it-IT"/>
        </w:rPr>
        <w:t>(6), 998–1009. https://doi.org/10.1002/ejsp.674</w:t>
      </w:r>
    </w:p>
    <w:p w14:paraId="16B112CF"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Lauritzen, S. L. (1996). </w:t>
      </w:r>
      <w:r w:rsidRPr="00FB206C">
        <w:rPr>
          <w:rFonts w:ascii="Times New Roman" w:hAnsi="Times New Roman"/>
          <w:i/>
          <w:iCs/>
          <w:sz w:val="24"/>
          <w:szCs w:val="24"/>
          <w:lang w:val="it-IT" w:eastAsia="it-IT"/>
        </w:rPr>
        <w:t>Graphical models</w:t>
      </w:r>
      <w:r w:rsidRPr="00FB206C">
        <w:rPr>
          <w:rFonts w:ascii="Times New Roman" w:hAnsi="Times New Roman"/>
          <w:sz w:val="24"/>
          <w:szCs w:val="24"/>
          <w:lang w:val="it-IT" w:eastAsia="it-IT"/>
        </w:rPr>
        <w:t>. Oxford University Press.</w:t>
      </w:r>
    </w:p>
    <w:p w14:paraId="222B45E6"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Lee, B. M., &amp; Kemmelmeier, M. (2017). How reliable are the effects of self-control training?: A re-examination using self-report and physical measures. </w:t>
      </w:r>
      <w:r w:rsidRPr="00FB206C">
        <w:rPr>
          <w:rFonts w:ascii="Times New Roman" w:hAnsi="Times New Roman"/>
          <w:i/>
          <w:iCs/>
          <w:sz w:val="24"/>
          <w:szCs w:val="24"/>
          <w:lang w:val="it-IT" w:eastAsia="it-IT"/>
        </w:rPr>
        <w:t>PloS ONE</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12</w:t>
      </w:r>
      <w:r w:rsidRPr="00FB206C">
        <w:rPr>
          <w:rFonts w:ascii="Times New Roman" w:hAnsi="Times New Roman"/>
          <w:sz w:val="24"/>
          <w:szCs w:val="24"/>
          <w:lang w:val="it-IT" w:eastAsia="it-IT"/>
        </w:rPr>
        <w:t>(6), e0178814. https://doi.org/10.1371/journal.pone.0178814</w:t>
      </w:r>
    </w:p>
    <w:p w14:paraId="712552F5"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Lüdtke, O., Trautwein, U., &amp; Husemann, N. (2009). Goal and personality trait development in a transitional period: Assessing change and stability in personality development. </w:t>
      </w:r>
      <w:r w:rsidRPr="00FB206C">
        <w:rPr>
          <w:rFonts w:ascii="Times New Roman" w:hAnsi="Times New Roman"/>
          <w:i/>
          <w:iCs/>
          <w:sz w:val="24"/>
          <w:szCs w:val="24"/>
          <w:lang w:val="it-IT" w:eastAsia="it-IT"/>
        </w:rPr>
        <w:t>Personality and Social Psychology Bulletin</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35</w:t>
      </w:r>
      <w:r w:rsidRPr="00FB206C">
        <w:rPr>
          <w:rFonts w:ascii="Times New Roman" w:hAnsi="Times New Roman"/>
          <w:sz w:val="24"/>
          <w:szCs w:val="24"/>
          <w:lang w:val="it-IT" w:eastAsia="it-IT"/>
        </w:rPr>
        <w:t>(4), 428–441. https://doi.org/10.1177/0146167208329215</w:t>
      </w:r>
    </w:p>
    <w:p w14:paraId="3FEC6901"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Magidson, J. F., Roberts, B. W., Collado-Rodriguez, A., &amp; Lejuez, C. W. (2014). Theory-driven intervention for changing personality: Expectancy value theory, behavioral activation, and conscientiousness. </w:t>
      </w:r>
      <w:r w:rsidRPr="00FB206C">
        <w:rPr>
          <w:rFonts w:ascii="Times New Roman" w:hAnsi="Times New Roman"/>
          <w:i/>
          <w:iCs/>
          <w:sz w:val="24"/>
          <w:szCs w:val="24"/>
          <w:lang w:val="it-IT" w:eastAsia="it-IT"/>
        </w:rPr>
        <w:t>Developmental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50</w:t>
      </w:r>
      <w:r w:rsidRPr="00FB206C">
        <w:rPr>
          <w:rFonts w:ascii="Times New Roman" w:hAnsi="Times New Roman"/>
          <w:sz w:val="24"/>
          <w:szCs w:val="24"/>
          <w:lang w:val="it-IT" w:eastAsia="it-IT"/>
        </w:rPr>
        <w:t>(5), 1442–1450. https://doi.org/10.1037/a0030583</w:t>
      </w:r>
    </w:p>
    <w:p w14:paraId="6B8529B2"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McCabe, K. O., &amp; Fleeson, W. (2012). What is extraversion for? Integrating trait and motivational perspectives and identifying the purpose of extraversion. </w:t>
      </w:r>
      <w:r>
        <w:rPr>
          <w:rFonts w:ascii="Times New Roman" w:hAnsi="Times New Roman"/>
          <w:i/>
          <w:iCs/>
          <w:sz w:val="24"/>
          <w:szCs w:val="24"/>
          <w:lang w:val="fr-FR" w:eastAsia="it-IT"/>
        </w:rPr>
        <w:t>Psychological Science</w:t>
      </w:r>
      <w:r>
        <w:rPr>
          <w:rFonts w:ascii="Times New Roman" w:hAnsi="Times New Roman"/>
          <w:sz w:val="24"/>
          <w:szCs w:val="24"/>
          <w:lang w:val="fr-FR" w:eastAsia="it-IT"/>
        </w:rPr>
        <w:t xml:space="preserve">, </w:t>
      </w:r>
      <w:r>
        <w:rPr>
          <w:rFonts w:ascii="Times New Roman" w:hAnsi="Times New Roman"/>
          <w:i/>
          <w:iCs/>
          <w:sz w:val="24"/>
          <w:szCs w:val="24"/>
          <w:lang w:val="fr-FR" w:eastAsia="it-IT"/>
        </w:rPr>
        <w:t>23</w:t>
      </w:r>
      <w:r>
        <w:rPr>
          <w:rFonts w:ascii="Times New Roman" w:hAnsi="Times New Roman"/>
          <w:sz w:val="24"/>
          <w:szCs w:val="24"/>
          <w:lang w:val="fr-FR" w:eastAsia="it-IT"/>
        </w:rPr>
        <w:t>(12), 1498–505. https://doi.org/10.1177/0956797612444904</w:t>
      </w:r>
    </w:p>
    <w:p w14:paraId="6E9D85CD" w14:textId="77777777" w:rsidR="00061155" w:rsidRDefault="00061155">
      <w:pPr>
        <w:widowControl w:val="0"/>
        <w:autoSpaceDE w:val="0"/>
        <w:spacing w:line="480" w:lineRule="auto"/>
        <w:ind w:left="480" w:hanging="480"/>
      </w:pPr>
      <w:r>
        <w:rPr>
          <w:rFonts w:ascii="Times New Roman" w:hAnsi="Times New Roman"/>
          <w:sz w:val="24"/>
          <w:szCs w:val="24"/>
          <w:lang w:val="fr-FR" w:eastAsia="it-IT"/>
        </w:rPr>
        <w:t xml:space="preserve">McCabe, K. O., &amp; Fleeson, W. (2016). </w:t>
      </w:r>
      <w:r w:rsidRPr="00FB206C">
        <w:rPr>
          <w:rFonts w:ascii="Times New Roman" w:hAnsi="Times New Roman"/>
          <w:sz w:val="24"/>
          <w:szCs w:val="24"/>
          <w:lang w:val="it-IT" w:eastAsia="it-IT"/>
        </w:rPr>
        <w:t xml:space="preserve">Are traits useful? Explaining trait manifestations as tools in the pursuit of goals. </w:t>
      </w:r>
      <w:r w:rsidRPr="00FB206C">
        <w:rPr>
          <w:rFonts w:ascii="Times New Roman" w:hAnsi="Times New Roman"/>
          <w:i/>
          <w:iCs/>
          <w:sz w:val="24"/>
          <w:szCs w:val="24"/>
          <w:lang w:val="it-IT" w:eastAsia="it-IT"/>
        </w:rPr>
        <w:t>Journal of Personality and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110</w:t>
      </w:r>
      <w:r w:rsidRPr="00FB206C">
        <w:rPr>
          <w:rFonts w:ascii="Times New Roman" w:hAnsi="Times New Roman"/>
          <w:sz w:val="24"/>
          <w:szCs w:val="24"/>
          <w:lang w:val="it-IT" w:eastAsia="it-IT"/>
        </w:rPr>
        <w:t xml:space="preserve">(2), 287–301. </w:t>
      </w:r>
      <w:r w:rsidRPr="00FB206C">
        <w:rPr>
          <w:rFonts w:ascii="Times New Roman" w:hAnsi="Times New Roman"/>
          <w:sz w:val="24"/>
          <w:szCs w:val="24"/>
          <w:lang w:val="it-IT" w:eastAsia="it-IT"/>
        </w:rPr>
        <w:lastRenderedPageBreak/>
        <w:t>https://doi.org/10.1037/a0039490</w:t>
      </w:r>
    </w:p>
    <w:p w14:paraId="2C22F84B"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McCabe, K. O., Van Yperen, N. W., Elliot, A. J., &amp; Verbraak, M. (2013). Big Five personality profiles of context-specific achievement goals. </w:t>
      </w:r>
      <w:r w:rsidRPr="00FB206C">
        <w:rPr>
          <w:rFonts w:ascii="Times New Roman" w:hAnsi="Times New Roman"/>
          <w:i/>
          <w:iCs/>
          <w:sz w:val="24"/>
          <w:szCs w:val="24"/>
          <w:lang w:val="it-IT" w:eastAsia="it-IT"/>
        </w:rPr>
        <w:t>Journal of Research in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47</w:t>
      </w:r>
      <w:r w:rsidRPr="00FB206C">
        <w:rPr>
          <w:rFonts w:ascii="Times New Roman" w:hAnsi="Times New Roman"/>
          <w:sz w:val="24"/>
          <w:szCs w:val="24"/>
          <w:lang w:val="it-IT" w:eastAsia="it-IT"/>
        </w:rPr>
        <w:t>(6), 698–707. https://doi.org/10.1016/j.jrp.2013.06.003</w:t>
      </w:r>
    </w:p>
    <w:p w14:paraId="549C2199" w14:textId="77777777" w:rsidR="00061155" w:rsidRPr="00FB206C" w:rsidRDefault="00061155">
      <w:pPr>
        <w:widowControl w:val="0"/>
        <w:autoSpaceDE w:val="0"/>
        <w:spacing w:line="480" w:lineRule="auto"/>
        <w:ind w:left="480" w:hanging="480"/>
        <w:rPr>
          <w:rFonts w:ascii="Times New Roman" w:hAnsi="Times New Roman"/>
          <w:sz w:val="24"/>
          <w:szCs w:val="24"/>
          <w:lang w:val="it-IT" w:eastAsia="it-IT"/>
        </w:rPr>
      </w:pPr>
      <w:r>
        <w:rPr>
          <w:rFonts w:ascii="Times New Roman" w:hAnsi="Times New Roman"/>
          <w:sz w:val="24"/>
          <w:szCs w:val="24"/>
          <w:lang w:val="it-IT" w:eastAsia="it-IT"/>
        </w:rPr>
        <w:t xml:space="preserve">McCrae, R. R., &amp; Costa, P. T. (2008). </w:t>
      </w:r>
      <w:r w:rsidRPr="00FB206C">
        <w:rPr>
          <w:rFonts w:ascii="Times New Roman" w:hAnsi="Times New Roman"/>
          <w:sz w:val="24"/>
          <w:szCs w:val="24"/>
          <w:lang w:val="it-IT" w:eastAsia="it-IT"/>
        </w:rPr>
        <w:t xml:space="preserve">Empirical and theoretical status of the Five-Factor Model of personality traits. In G. Boyle, G. Matthews, &amp; D. Saklofske (Eds.), </w:t>
      </w:r>
      <w:r w:rsidRPr="00FB206C">
        <w:rPr>
          <w:rFonts w:ascii="Times New Roman" w:hAnsi="Times New Roman"/>
          <w:i/>
          <w:iCs/>
          <w:sz w:val="24"/>
          <w:szCs w:val="24"/>
          <w:lang w:val="it-IT" w:eastAsia="it-IT"/>
        </w:rPr>
        <w:t>SAGE handbook of personality theory and assessment</w:t>
      </w:r>
      <w:r w:rsidRPr="00FB206C">
        <w:rPr>
          <w:rFonts w:ascii="Times New Roman" w:hAnsi="Times New Roman"/>
          <w:sz w:val="24"/>
          <w:szCs w:val="24"/>
          <w:lang w:val="it-IT" w:eastAsia="it-IT"/>
        </w:rPr>
        <w:t xml:space="preserve"> (pp. 273–294). London: SAGE Publications. </w:t>
      </w:r>
      <w:hyperlink r:id="rId19" w:history="1">
        <w:r w:rsidRPr="00FB206C">
          <w:rPr>
            <w:rStyle w:val="Collegamentoipertestuale"/>
            <w:rFonts w:ascii="Times New Roman" w:hAnsi="Times New Roman"/>
            <w:sz w:val="24"/>
            <w:szCs w:val="24"/>
            <w:lang w:val="it-IT" w:eastAsia="it-IT"/>
          </w:rPr>
          <w:t>https://doi.org/10.4135/9781849200462.n13</w:t>
        </w:r>
      </w:hyperlink>
    </w:p>
    <w:p w14:paraId="04C1C7F2"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McCrae, R. R., &amp; Sutin, A. R. (2018). A Five-Factor Theory perspective on causal analysis. </w:t>
      </w:r>
      <w:r w:rsidRPr="00FB206C">
        <w:rPr>
          <w:rFonts w:ascii="Times New Roman" w:hAnsi="Times New Roman"/>
          <w:i/>
          <w:sz w:val="24"/>
          <w:szCs w:val="24"/>
          <w:lang w:val="it-IT" w:eastAsia="it-IT"/>
        </w:rPr>
        <w:t>European Journal of Personality</w:t>
      </w:r>
      <w:r w:rsidRPr="00FB206C">
        <w:rPr>
          <w:rFonts w:ascii="Times New Roman" w:hAnsi="Times New Roman"/>
          <w:sz w:val="24"/>
          <w:szCs w:val="24"/>
          <w:lang w:val="it-IT" w:eastAsia="it-IT"/>
        </w:rPr>
        <w:t>. https://doi.org/10.1002/per.2134</w:t>
      </w:r>
    </w:p>
    <w:p w14:paraId="19204ED5"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Miles, E., Sheeran, P., Baird, H., Macdonald, I., Webb, T. L., &amp; Harris, P. R. (2016). Does self-control improve with practice? Evidence from a six-week training program. </w:t>
      </w:r>
      <w:r w:rsidRPr="00FB206C">
        <w:rPr>
          <w:rFonts w:ascii="Times New Roman" w:hAnsi="Times New Roman"/>
          <w:i/>
          <w:iCs/>
          <w:sz w:val="24"/>
          <w:szCs w:val="24"/>
          <w:lang w:val="it-IT" w:eastAsia="it-IT"/>
        </w:rPr>
        <w:t>Journal of Experimental Psychology: General</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145</w:t>
      </w:r>
      <w:r w:rsidRPr="00FB206C">
        <w:rPr>
          <w:rFonts w:ascii="Times New Roman" w:hAnsi="Times New Roman"/>
          <w:sz w:val="24"/>
          <w:szCs w:val="24"/>
          <w:lang w:val="it-IT" w:eastAsia="it-IT"/>
        </w:rPr>
        <w:t>(8), 1075–1091. https://doi.org/10.1037/xge0000185</w:t>
      </w:r>
    </w:p>
    <w:p w14:paraId="077CF289"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Milyavskaya, M., Inzlicht, M., Hope, N., &amp; Koestner, R. (2015). Saying “no” to temptation: Want-to motivation improves self-regulation by reducing temptation rather than by increasing self-control. </w:t>
      </w:r>
      <w:r w:rsidRPr="00FB206C">
        <w:rPr>
          <w:rFonts w:ascii="Times New Roman" w:hAnsi="Times New Roman"/>
          <w:i/>
          <w:iCs/>
          <w:sz w:val="24"/>
          <w:szCs w:val="24"/>
          <w:lang w:val="it-IT" w:eastAsia="it-IT"/>
        </w:rPr>
        <w:t>Journal of Personality and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109</w:t>
      </w:r>
      <w:r w:rsidRPr="00FB206C">
        <w:rPr>
          <w:rFonts w:ascii="Times New Roman" w:hAnsi="Times New Roman"/>
          <w:sz w:val="24"/>
          <w:szCs w:val="24"/>
          <w:lang w:val="it-IT" w:eastAsia="it-IT"/>
        </w:rPr>
        <w:t>(4), 677–693. https://doi.org/10.1037/pspp0000045</w:t>
      </w:r>
    </w:p>
    <w:p w14:paraId="5F712B3D"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Morgan, S. L., &amp; Winship, C. (2015). </w:t>
      </w:r>
      <w:r w:rsidRPr="00FB206C">
        <w:rPr>
          <w:rFonts w:ascii="Times New Roman" w:hAnsi="Times New Roman"/>
          <w:i/>
          <w:iCs/>
          <w:sz w:val="24"/>
          <w:szCs w:val="24"/>
          <w:lang w:val="it-IT" w:eastAsia="it-IT"/>
        </w:rPr>
        <w:t>Counterfactuals and causal inference</w:t>
      </w:r>
      <w:r w:rsidRPr="00FB206C">
        <w:rPr>
          <w:rFonts w:ascii="Times New Roman" w:hAnsi="Times New Roman"/>
          <w:sz w:val="24"/>
          <w:szCs w:val="24"/>
          <w:lang w:val="it-IT" w:eastAsia="it-IT"/>
        </w:rPr>
        <w:t xml:space="preserve"> (2nd ed.). Cambridge University Press.</w:t>
      </w:r>
    </w:p>
    <w:p w14:paraId="1394A937"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Mõttus, R. (2016). Towards more rigorous personality trait-outcome research. </w:t>
      </w:r>
      <w:r w:rsidRPr="00FB206C">
        <w:rPr>
          <w:rFonts w:ascii="Times New Roman" w:hAnsi="Times New Roman"/>
          <w:i/>
          <w:iCs/>
          <w:sz w:val="24"/>
          <w:szCs w:val="24"/>
          <w:lang w:val="it-IT" w:eastAsia="it-IT"/>
        </w:rPr>
        <w:t>European Journal of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30</w:t>
      </w:r>
      <w:r w:rsidRPr="00FB206C">
        <w:rPr>
          <w:rFonts w:ascii="Times New Roman" w:hAnsi="Times New Roman"/>
          <w:sz w:val="24"/>
          <w:szCs w:val="24"/>
          <w:lang w:val="it-IT" w:eastAsia="it-IT"/>
        </w:rPr>
        <w:t>(4), 292–303. https://doi.org/10.1002/per.2041</w:t>
      </w:r>
    </w:p>
    <w:p w14:paraId="492C6597"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Mõttus, R., &amp; Allerhand, M. (in press). Why do traits come together? The underlying trait and network approaches. In V. Zeigler-Hill &amp; T. K. Shackelford (Eds.), </w:t>
      </w:r>
      <w:r w:rsidRPr="00FB206C">
        <w:rPr>
          <w:rFonts w:ascii="Times New Roman" w:hAnsi="Times New Roman"/>
          <w:i/>
          <w:iCs/>
          <w:sz w:val="24"/>
          <w:szCs w:val="24"/>
          <w:lang w:val="it-IT" w:eastAsia="it-IT"/>
        </w:rPr>
        <w:t>SAGE handbook of personality and individual differences: Volume 1. The science of personality and individual differences</w:t>
      </w:r>
      <w:r w:rsidRPr="00FB206C">
        <w:rPr>
          <w:rFonts w:ascii="Times New Roman" w:hAnsi="Times New Roman"/>
          <w:sz w:val="24"/>
          <w:szCs w:val="24"/>
          <w:lang w:val="it-IT" w:eastAsia="it-IT"/>
        </w:rPr>
        <w:t>. London: Sage.</w:t>
      </w:r>
    </w:p>
    <w:p w14:paraId="47423E0D"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Pearl, J. (2000). </w:t>
      </w:r>
      <w:r w:rsidRPr="00FB206C">
        <w:rPr>
          <w:rFonts w:ascii="Times New Roman" w:hAnsi="Times New Roman"/>
          <w:i/>
          <w:iCs/>
          <w:sz w:val="24"/>
          <w:szCs w:val="24"/>
          <w:lang w:val="it-IT" w:eastAsia="it-IT"/>
        </w:rPr>
        <w:t>Causality: models, reasoning and inference</w:t>
      </w:r>
      <w:r w:rsidRPr="00FB206C">
        <w:rPr>
          <w:rFonts w:ascii="Times New Roman" w:hAnsi="Times New Roman"/>
          <w:sz w:val="24"/>
          <w:szCs w:val="24"/>
          <w:lang w:val="it-IT" w:eastAsia="it-IT"/>
        </w:rPr>
        <w:t>. Cambridge University Press.</w:t>
      </w:r>
    </w:p>
    <w:p w14:paraId="53535DA6"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lastRenderedPageBreak/>
        <w:t xml:space="preserve">Pearl, J. (2014). Interpretation and identification of causal mediation. </w:t>
      </w:r>
      <w:r w:rsidRPr="00FB206C">
        <w:rPr>
          <w:rFonts w:ascii="Times New Roman" w:hAnsi="Times New Roman"/>
          <w:i/>
          <w:iCs/>
          <w:sz w:val="24"/>
          <w:szCs w:val="24"/>
          <w:lang w:val="it-IT" w:eastAsia="it-IT"/>
        </w:rPr>
        <w:t>Psychological Methods</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19</w:t>
      </w:r>
      <w:r w:rsidRPr="00FB206C">
        <w:rPr>
          <w:rFonts w:ascii="Times New Roman" w:hAnsi="Times New Roman"/>
          <w:sz w:val="24"/>
          <w:szCs w:val="24"/>
          <w:lang w:val="it-IT" w:eastAsia="it-IT"/>
        </w:rPr>
        <w:t>(4), 459–481. https://doi.org/10.1037/a0036434</w:t>
      </w:r>
    </w:p>
    <w:p w14:paraId="403C9CD8"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Perugini, M., Costantini, G., Hughes, S., &amp; De Houwer, J. (2016). A functional perspective on personality. </w:t>
      </w:r>
      <w:r w:rsidRPr="00FB206C">
        <w:rPr>
          <w:rFonts w:ascii="Times New Roman" w:hAnsi="Times New Roman"/>
          <w:i/>
          <w:iCs/>
          <w:sz w:val="24"/>
          <w:szCs w:val="24"/>
          <w:lang w:val="it-IT" w:eastAsia="it-IT"/>
        </w:rPr>
        <w:t>International Journal of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51</w:t>
      </w:r>
      <w:r w:rsidRPr="00FB206C">
        <w:rPr>
          <w:rFonts w:ascii="Times New Roman" w:hAnsi="Times New Roman"/>
          <w:sz w:val="24"/>
          <w:szCs w:val="24"/>
          <w:lang w:val="it-IT" w:eastAsia="it-IT"/>
        </w:rPr>
        <w:t>(1), 33–39. https://doi.org/10.1002/ijop.12175</w:t>
      </w:r>
    </w:p>
    <w:p w14:paraId="7059E7C0" w14:textId="77777777" w:rsidR="00061155" w:rsidRPr="00FB206C" w:rsidRDefault="00061155">
      <w:pPr>
        <w:widowControl w:val="0"/>
        <w:autoSpaceDE w:val="0"/>
        <w:spacing w:line="480" w:lineRule="auto"/>
        <w:ind w:left="480" w:hanging="480"/>
        <w:rPr>
          <w:rFonts w:ascii="Times New Roman" w:hAnsi="Times New Roman"/>
          <w:sz w:val="24"/>
          <w:szCs w:val="24"/>
          <w:lang w:val="it-IT" w:eastAsia="it-IT"/>
        </w:rPr>
      </w:pPr>
      <w:r w:rsidRPr="00FB206C">
        <w:rPr>
          <w:rFonts w:ascii="Times New Roman" w:hAnsi="Times New Roman"/>
          <w:sz w:val="24"/>
          <w:szCs w:val="24"/>
          <w:lang w:val="it-IT" w:eastAsia="it-IT"/>
        </w:rPr>
        <w:t xml:space="preserve">Poropat, A. E. (2009). A meta-analysis of the five-factor model of personality and academic performance. </w:t>
      </w:r>
      <w:r w:rsidRPr="00FB206C">
        <w:rPr>
          <w:rFonts w:ascii="Times New Roman" w:hAnsi="Times New Roman"/>
          <w:i/>
          <w:iCs/>
          <w:sz w:val="24"/>
          <w:szCs w:val="24"/>
          <w:lang w:val="it-IT" w:eastAsia="it-IT"/>
        </w:rPr>
        <w:t>Psychological Bulletin</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135</w:t>
      </w:r>
      <w:r w:rsidRPr="00FB206C">
        <w:rPr>
          <w:rFonts w:ascii="Times New Roman" w:hAnsi="Times New Roman"/>
          <w:sz w:val="24"/>
          <w:szCs w:val="24"/>
          <w:lang w:val="it-IT" w:eastAsia="it-IT"/>
        </w:rPr>
        <w:t xml:space="preserve">(2), 322–338. </w:t>
      </w:r>
      <w:hyperlink r:id="rId20" w:history="1">
        <w:r w:rsidRPr="00FB206C">
          <w:rPr>
            <w:rStyle w:val="Collegamentoipertestuale"/>
            <w:rFonts w:ascii="Times New Roman" w:hAnsi="Times New Roman"/>
            <w:sz w:val="24"/>
            <w:szCs w:val="24"/>
            <w:lang w:val="it-IT" w:eastAsia="it-IT"/>
          </w:rPr>
          <w:t>https://doi.org/10.1037/a0014996</w:t>
        </w:r>
      </w:hyperlink>
    </w:p>
    <w:p w14:paraId="441CB66C" w14:textId="77777777" w:rsidR="00061155" w:rsidRPr="00FB206C" w:rsidRDefault="00061155">
      <w:pPr>
        <w:widowControl w:val="0"/>
        <w:autoSpaceDE w:val="0"/>
        <w:spacing w:line="480" w:lineRule="auto"/>
        <w:ind w:left="480" w:hanging="480"/>
        <w:rPr>
          <w:rFonts w:ascii="Times New Roman" w:hAnsi="Times New Roman"/>
          <w:sz w:val="24"/>
          <w:szCs w:val="24"/>
          <w:lang w:val="it-IT" w:eastAsia="it-IT"/>
        </w:rPr>
      </w:pPr>
      <w:r w:rsidRPr="00FB206C">
        <w:rPr>
          <w:rFonts w:ascii="Times New Roman" w:hAnsi="Times New Roman"/>
          <w:sz w:val="24"/>
          <w:szCs w:val="24"/>
          <w:lang w:val="it-IT" w:eastAsia="it-IT"/>
        </w:rPr>
        <w:t xml:space="preserve">R Core Team (2017). R: A language and environment for statistical computing. R Foundation for Statistical Computing, Vienna, Austria. </w:t>
      </w:r>
      <w:hyperlink r:id="rId21" w:history="1">
        <w:r w:rsidRPr="00FB206C">
          <w:rPr>
            <w:rStyle w:val="Collegamentoipertestuale"/>
            <w:rFonts w:ascii="Times New Roman" w:hAnsi="Times New Roman"/>
            <w:sz w:val="24"/>
            <w:szCs w:val="24"/>
            <w:lang w:val="it-IT" w:eastAsia="it-IT"/>
          </w:rPr>
          <w:t>https://www.R-project.org/</w:t>
        </w:r>
      </w:hyperlink>
    </w:p>
    <w:p w14:paraId="1C8F28E0"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Reisz, Z., Boudreaux, M. J., &amp; Ozer, D. J. (2013). Personality traits and the prediction of personal goals. </w:t>
      </w:r>
      <w:r w:rsidRPr="00FB206C">
        <w:rPr>
          <w:rFonts w:ascii="Times New Roman" w:hAnsi="Times New Roman"/>
          <w:i/>
          <w:iCs/>
          <w:sz w:val="24"/>
          <w:szCs w:val="24"/>
          <w:lang w:val="it-IT" w:eastAsia="it-IT"/>
        </w:rPr>
        <w:t>Personality and Individual Differences</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55</w:t>
      </w:r>
      <w:r w:rsidRPr="00FB206C">
        <w:rPr>
          <w:rFonts w:ascii="Times New Roman" w:hAnsi="Times New Roman"/>
          <w:sz w:val="24"/>
          <w:szCs w:val="24"/>
          <w:lang w:val="it-IT" w:eastAsia="it-IT"/>
        </w:rPr>
        <w:t>(6), 699–704. https://doi.org/10.1016/j.paid.2013.05.023</w:t>
      </w:r>
    </w:p>
    <w:p w14:paraId="3B1FD279"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Revelle, W. (2007). Experimental approaches to the study of personality. In R. W. Robins, R. C. Fraley, &amp; R. F. Krueger (Eds.), </w:t>
      </w:r>
      <w:r w:rsidRPr="00FB206C">
        <w:rPr>
          <w:rFonts w:ascii="Times New Roman" w:hAnsi="Times New Roman"/>
          <w:i/>
          <w:iCs/>
          <w:sz w:val="24"/>
          <w:szCs w:val="24"/>
          <w:lang w:val="it-IT" w:eastAsia="it-IT"/>
        </w:rPr>
        <w:t>Handbook of research methods in personality psychology</w:t>
      </w:r>
      <w:r w:rsidRPr="00FB206C">
        <w:rPr>
          <w:rFonts w:ascii="Times New Roman" w:hAnsi="Times New Roman"/>
          <w:sz w:val="24"/>
          <w:szCs w:val="24"/>
          <w:lang w:val="it-IT" w:eastAsia="it-IT"/>
        </w:rPr>
        <w:t xml:space="preserve"> (pp. 37–61). New York: Guilford Press.</w:t>
      </w:r>
    </w:p>
    <w:p w14:paraId="4EDA2F2B" w14:textId="77777777" w:rsidR="00061155" w:rsidRPr="00FB206C" w:rsidRDefault="00061155">
      <w:pPr>
        <w:widowControl w:val="0"/>
        <w:autoSpaceDE w:val="0"/>
        <w:spacing w:line="480" w:lineRule="auto"/>
        <w:ind w:left="480" w:hanging="480"/>
        <w:rPr>
          <w:rFonts w:ascii="Times New Roman" w:hAnsi="Times New Roman"/>
          <w:sz w:val="24"/>
          <w:szCs w:val="24"/>
          <w:lang w:val="it-IT" w:eastAsia="it-IT"/>
        </w:rPr>
      </w:pPr>
      <w:r w:rsidRPr="00D40F56">
        <w:rPr>
          <w:rFonts w:ascii="Times New Roman" w:hAnsi="Times New Roman"/>
          <w:sz w:val="24"/>
        </w:rPr>
        <w:t xml:space="preserve">Revelle, W., &amp; Condon, D. M. (2017). </w:t>
      </w:r>
      <w:r w:rsidRPr="00FB206C">
        <w:rPr>
          <w:rFonts w:ascii="Times New Roman" w:hAnsi="Times New Roman"/>
          <w:sz w:val="24"/>
          <w:szCs w:val="24"/>
          <w:lang w:val="it-IT" w:eastAsia="it-IT"/>
        </w:rPr>
        <w:t xml:space="preserve">Climate:weather::traits:states. </w:t>
      </w:r>
      <w:r w:rsidRPr="00FB206C">
        <w:rPr>
          <w:rFonts w:ascii="Times New Roman" w:hAnsi="Times New Roman"/>
          <w:i/>
          <w:iCs/>
          <w:sz w:val="24"/>
          <w:szCs w:val="24"/>
          <w:lang w:val="it-IT" w:eastAsia="it-IT"/>
        </w:rPr>
        <w:t>European Journal of Personality, 31</w:t>
      </w:r>
      <w:r w:rsidRPr="00FB206C">
        <w:rPr>
          <w:rFonts w:ascii="Times New Roman" w:hAnsi="Times New Roman"/>
          <w:iCs/>
          <w:sz w:val="24"/>
          <w:szCs w:val="24"/>
          <w:lang w:val="it-IT" w:eastAsia="it-IT"/>
        </w:rPr>
        <w:t>, 564-565</w:t>
      </w:r>
      <w:r w:rsidRPr="00FB206C">
        <w:rPr>
          <w:rFonts w:ascii="Times New Roman" w:hAnsi="Times New Roman"/>
          <w:sz w:val="24"/>
          <w:szCs w:val="24"/>
          <w:lang w:val="it-IT" w:eastAsia="it-IT"/>
        </w:rPr>
        <w:t xml:space="preserve">. </w:t>
      </w:r>
      <w:hyperlink r:id="rId22" w:history="1">
        <w:r>
          <w:rPr>
            <w:rStyle w:val="Collegamentoipertestuale"/>
            <w:rFonts w:ascii="Times New Roman" w:eastAsia="Times New Roman" w:hAnsi="Times New Roman"/>
            <w:sz w:val="24"/>
            <w:szCs w:val="24"/>
            <w:lang w:eastAsia="it-IT"/>
          </w:rPr>
          <w:t>https://doi.org/10.1002/per.2128</w:t>
        </w:r>
      </w:hyperlink>
    </w:p>
    <w:p w14:paraId="23505BD7"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Roberts, B. W., Hill, P. L., &amp; Davis, J. P. (2017). How to change conscientiousness: The sociogenomic trait intervention model. </w:t>
      </w:r>
      <w:r w:rsidRPr="00FB206C">
        <w:rPr>
          <w:rFonts w:ascii="Times New Roman" w:hAnsi="Times New Roman"/>
          <w:i/>
          <w:iCs/>
          <w:sz w:val="24"/>
          <w:szCs w:val="24"/>
          <w:lang w:val="it-IT" w:eastAsia="it-IT"/>
        </w:rPr>
        <w:t>Personality Disorders: Theory, Research, and Treatment</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8</w:t>
      </w:r>
      <w:r w:rsidRPr="00FB206C">
        <w:rPr>
          <w:rFonts w:ascii="Times New Roman" w:hAnsi="Times New Roman"/>
          <w:sz w:val="24"/>
          <w:szCs w:val="24"/>
          <w:lang w:val="it-IT" w:eastAsia="it-IT"/>
        </w:rPr>
        <w:t>(3), 199–205. https://doi.org/10.1037/per0000242</w:t>
      </w:r>
    </w:p>
    <w:p w14:paraId="5CE00B10"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Roberts, B. W., Luo, J., Briley, D. A., Chow, P. I., Su, R., &amp; Hill, P. L. (2017). A systematic review of personality trait change through intervention. </w:t>
      </w:r>
      <w:r w:rsidRPr="00FB206C">
        <w:rPr>
          <w:rFonts w:ascii="Times New Roman" w:hAnsi="Times New Roman"/>
          <w:i/>
          <w:iCs/>
          <w:sz w:val="24"/>
          <w:szCs w:val="24"/>
          <w:lang w:val="it-IT" w:eastAsia="it-IT"/>
        </w:rPr>
        <w:t>Psychological Bulletin</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143</w:t>
      </w:r>
      <w:r w:rsidRPr="00FB206C">
        <w:rPr>
          <w:rFonts w:ascii="Times New Roman" w:hAnsi="Times New Roman"/>
          <w:sz w:val="24"/>
          <w:szCs w:val="24"/>
          <w:lang w:val="it-IT" w:eastAsia="it-IT"/>
        </w:rPr>
        <w:t>(2), 117–141. https://doi.org/10.1037/bul0000088</w:t>
      </w:r>
    </w:p>
    <w:p w14:paraId="1A155B5A"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Roberts, B. W., &amp; Robins, R. W. (2000). Broad dispositions, broad aspirations: The intersection of personality traits and major life goals. </w:t>
      </w:r>
      <w:r w:rsidRPr="00FB206C">
        <w:rPr>
          <w:rFonts w:ascii="Times New Roman" w:hAnsi="Times New Roman"/>
          <w:i/>
          <w:iCs/>
          <w:sz w:val="24"/>
          <w:szCs w:val="24"/>
          <w:lang w:val="it-IT" w:eastAsia="it-IT"/>
        </w:rPr>
        <w:t>Personality and Social Psychology Bulletin</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26</w:t>
      </w:r>
      <w:r w:rsidRPr="00FB206C">
        <w:rPr>
          <w:rFonts w:ascii="Times New Roman" w:hAnsi="Times New Roman"/>
          <w:sz w:val="24"/>
          <w:szCs w:val="24"/>
          <w:lang w:val="it-IT" w:eastAsia="it-IT"/>
        </w:rPr>
        <w:t>(10), 1284–1296. https://doi.org/10.1177/0146167200262009</w:t>
      </w:r>
    </w:p>
    <w:p w14:paraId="405E4CCF"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lastRenderedPageBreak/>
        <w:t xml:space="preserve">Roberts, B. W., Walton, K. E., &amp; Viechtbauer, W. (2006). Patterns of mean-level change in personality traits across the life course: A meta-analysis of longitudinal studies. </w:t>
      </w:r>
      <w:r w:rsidRPr="00FB206C">
        <w:rPr>
          <w:rFonts w:ascii="Times New Roman" w:hAnsi="Times New Roman"/>
          <w:i/>
          <w:iCs/>
          <w:sz w:val="24"/>
          <w:szCs w:val="24"/>
          <w:lang w:val="it-IT" w:eastAsia="it-IT"/>
        </w:rPr>
        <w:t>Psychological Bulletin</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132</w:t>
      </w:r>
      <w:r w:rsidRPr="00FB206C">
        <w:rPr>
          <w:rFonts w:ascii="Times New Roman" w:hAnsi="Times New Roman"/>
          <w:sz w:val="24"/>
          <w:szCs w:val="24"/>
          <w:lang w:val="it-IT" w:eastAsia="it-IT"/>
        </w:rPr>
        <w:t>(1), 1–25. https://doi.org/10.1037/0033-2909.132.1.1</w:t>
      </w:r>
    </w:p>
    <w:p w14:paraId="7CB5751E"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Robinson, M. D. (2007). Lives lived in milliseconds. In R. W. Robins, R. C. Fraley, &amp; R. F. Krueger (Eds.), </w:t>
      </w:r>
      <w:r w:rsidRPr="00FB206C">
        <w:rPr>
          <w:rFonts w:ascii="Times New Roman" w:hAnsi="Times New Roman"/>
          <w:i/>
          <w:iCs/>
          <w:sz w:val="24"/>
          <w:szCs w:val="24"/>
          <w:lang w:val="it-IT" w:eastAsia="it-IT"/>
        </w:rPr>
        <w:t>Handbook of Research Methods in Social and Personality Psychology2</w:t>
      </w:r>
      <w:r w:rsidRPr="00FB206C">
        <w:rPr>
          <w:rFonts w:ascii="Times New Roman" w:hAnsi="Times New Roman"/>
          <w:sz w:val="24"/>
          <w:szCs w:val="24"/>
          <w:lang w:val="it-IT" w:eastAsia="it-IT"/>
        </w:rPr>
        <w:t xml:space="preserve"> (pp. 345–369). New York: Guilford Press.</w:t>
      </w:r>
    </w:p>
    <w:p w14:paraId="585AEA85" w14:textId="77777777" w:rsidR="00061155" w:rsidRDefault="00061155">
      <w:pPr>
        <w:widowControl w:val="0"/>
        <w:autoSpaceDE w:val="0"/>
        <w:spacing w:line="480" w:lineRule="auto"/>
        <w:ind w:left="480" w:hanging="480"/>
      </w:pPr>
      <w:r>
        <w:rPr>
          <w:rFonts w:ascii="Times New Roman" w:eastAsia="Times New Roman" w:hAnsi="Times New Roman"/>
          <w:sz w:val="24"/>
          <w:szCs w:val="24"/>
          <w:lang w:eastAsia="it-IT"/>
        </w:rPr>
        <w:t xml:space="preserve">Robinson, O. C., Noftle, E. E., Guo, J., Asadi, S., &amp; Zhang, X. (2015). Goals and plans for Big Five personality trait change in young adults. </w:t>
      </w:r>
      <w:r>
        <w:rPr>
          <w:rFonts w:ascii="Times New Roman" w:eastAsia="Times New Roman" w:hAnsi="Times New Roman"/>
          <w:i/>
          <w:iCs/>
          <w:sz w:val="24"/>
          <w:szCs w:val="24"/>
          <w:lang w:eastAsia="it-IT"/>
        </w:rPr>
        <w:t>Journal of Research in Personality</w:t>
      </w:r>
      <w:r>
        <w:rPr>
          <w:rFonts w:ascii="Times New Roman" w:eastAsia="Times New Roman" w:hAnsi="Times New Roman"/>
          <w:sz w:val="24"/>
          <w:szCs w:val="24"/>
          <w:lang w:eastAsia="it-IT"/>
        </w:rPr>
        <w:t xml:space="preserve">, </w:t>
      </w:r>
      <w:r>
        <w:rPr>
          <w:rFonts w:ascii="Times New Roman" w:eastAsia="Times New Roman" w:hAnsi="Times New Roman"/>
          <w:i/>
          <w:iCs/>
          <w:sz w:val="24"/>
          <w:szCs w:val="24"/>
          <w:lang w:eastAsia="it-IT"/>
        </w:rPr>
        <w:t>59</w:t>
      </w:r>
      <w:r>
        <w:rPr>
          <w:rFonts w:ascii="Times New Roman" w:eastAsia="Times New Roman" w:hAnsi="Times New Roman"/>
          <w:sz w:val="24"/>
          <w:szCs w:val="24"/>
          <w:lang w:eastAsia="it-IT"/>
        </w:rPr>
        <w:t>, 31–43. https://doi.org/10.1016/j.jrp.2015.08.002</w:t>
      </w:r>
    </w:p>
    <w:p w14:paraId="32E3DC70"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Rubin, D. B. (1974). Estimating causal effects of treatments in randomized and nonrandomized studies. </w:t>
      </w:r>
      <w:r w:rsidRPr="00FB206C">
        <w:rPr>
          <w:rFonts w:ascii="Times New Roman" w:hAnsi="Times New Roman"/>
          <w:i/>
          <w:iCs/>
          <w:sz w:val="24"/>
          <w:szCs w:val="24"/>
          <w:lang w:val="it-IT" w:eastAsia="it-IT"/>
        </w:rPr>
        <w:t>Journal of Educational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66</w:t>
      </w:r>
      <w:r w:rsidRPr="00FB206C">
        <w:rPr>
          <w:rFonts w:ascii="Times New Roman" w:hAnsi="Times New Roman"/>
          <w:sz w:val="24"/>
          <w:szCs w:val="24"/>
          <w:lang w:val="it-IT" w:eastAsia="it-IT"/>
        </w:rPr>
        <w:t>(5), 688–701. https://doi.org/10.1037/h0037350</w:t>
      </w:r>
    </w:p>
    <w:p w14:paraId="6A8C92A5"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Saucier, G., &amp; Srivastava, S. (2015). What makes a good structural model of personality? Evaluating the Big Five and alternatives. In M. Mikulincer, P. R. Shaver, M. L. Cooper, &amp; R. J. Larsen (Eds.), </w:t>
      </w:r>
      <w:r w:rsidRPr="00FB206C">
        <w:rPr>
          <w:rFonts w:ascii="Times New Roman" w:hAnsi="Times New Roman"/>
          <w:i/>
          <w:iCs/>
          <w:sz w:val="24"/>
          <w:szCs w:val="24"/>
          <w:lang w:val="it-IT" w:eastAsia="it-IT"/>
        </w:rPr>
        <w:t>APA handbook of personality and social psychology, Volume 4: Personality processes and individual differences.</w:t>
      </w:r>
      <w:r w:rsidRPr="00FB206C">
        <w:rPr>
          <w:rFonts w:ascii="Times New Roman" w:hAnsi="Times New Roman"/>
          <w:sz w:val="24"/>
          <w:szCs w:val="24"/>
          <w:lang w:val="it-IT" w:eastAsia="it-IT"/>
        </w:rPr>
        <w:t xml:space="preserve"> (pp. 283–305). Washington: American Psychological Association. https://doi.org/10.1037/14343-013</w:t>
      </w:r>
    </w:p>
    <w:p w14:paraId="2DE2BB9A" w14:textId="32D2C2CC" w:rsidR="00061155" w:rsidRPr="00FB206C" w:rsidRDefault="00061155">
      <w:pPr>
        <w:widowControl w:val="0"/>
        <w:autoSpaceDE w:val="0"/>
        <w:spacing w:line="480" w:lineRule="auto"/>
        <w:ind w:left="480" w:hanging="480"/>
        <w:rPr>
          <w:rFonts w:ascii="Times New Roman" w:hAnsi="Times New Roman"/>
          <w:sz w:val="24"/>
          <w:lang w:val="it-IT"/>
        </w:rPr>
      </w:pPr>
      <w:r w:rsidRPr="00FB206C">
        <w:rPr>
          <w:rFonts w:ascii="Times New Roman" w:hAnsi="Times New Roman"/>
          <w:sz w:val="24"/>
          <w:szCs w:val="24"/>
          <w:lang w:val="it-IT" w:eastAsia="it-IT"/>
        </w:rPr>
        <w:t xml:space="preserve">Schmittmann, V. D., Cramer, A. O. J., Waldorp, L. J., Epskamp, S., Kievit, R. A., &amp; Borsboom, D. (2013). Deconstructing the construct: A network perspective on psychological phenomena. </w:t>
      </w:r>
      <w:r w:rsidRPr="00FB206C">
        <w:rPr>
          <w:rFonts w:ascii="Times New Roman" w:hAnsi="Times New Roman"/>
          <w:i/>
          <w:iCs/>
          <w:sz w:val="24"/>
          <w:szCs w:val="24"/>
          <w:lang w:val="it-IT" w:eastAsia="it-IT"/>
        </w:rPr>
        <w:t>New Ideas in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31</w:t>
      </w:r>
      <w:r w:rsidRPr="00FB206C">
        <w:rPr>
          <w:rFonts w:ascii="Times New Roman" w:hAnsi="Times New Roman"/>
          <w:sz w:val="24"/>
          <w:szCs w:val="24"/>
          <w:lang w:val="it-IT" w:eastAsia="it-IT"/>
        </w:rPr>
        <w:t xml:space="preserve">(1), 43–53. </w:t>
      </w:r>
      <w:r w:rsidR="00EC68C6" w:rsidRPr="00FB206C">
        <w:rPr>
          <w:rFonts w:ascii="Times New Roman" w:hAnsi="Times New Roman"/>
          <w:sz w:val="24"/>
          <w:szCs w:val="24"/>
          <w:lang w:val="it-IT" w:eastAsia="it-IT"/>
        </w:rPr>
        <w:t>https://doi.org/10.1016/j.newideapsych.2011.02.007</w:t>
      </w:r>
    </w:p>
    <w:p w14:paraId="6E43DFDB" w14:textId="77777777" w:rsidR="003D04E8" w:rsidRPr="00FB206C" w:rsidRDefault="003D04E8">
      <w:pPr>
        <w:widowControl w:val="0"/>
        <w:autoSpaceDE w:val="0"/>
        <w:spacing w:line="480" w:lineRule="auto"/>
        <w:ind w:left="480" w:hanging="480"/>
        <w:rPr>
          <w:rFonts w:ascii="Times New Roman" w:hAnsi="Times New Roman"/>
          <w:i/>
          <w:sz w:val="24"/>
          <w:szCs w:val="24"/>
          <w:lang w:val="it-IT" w:eastAsia="it-IT"/>
        </w:rPr>
      </w:pPr>
      <w:r w:rsidRPr="00FB206C">
        <w:rPr>
          <w:rFonts w:ascii="Times New Roman" w:hAnsi="Times New Roman"/>
          <w:sz w:val="24"/>
          <w:szCs w:val="24"/>
          <w:lang w:val="it-IT" w:eastAsia="it-IT"/>
        </w:rPr>
        <w:t xml:space="preserve">Sened, H., Lazarus, G., Gleason, M., Rafaeli, E., Fleeson, W. (in press). The use of intensive longitudinal methods in exploratory personality research. </w:t>
      </w:r>
      <w:r w:rsidRPr="00FB206C">
        <w:rPr>
          <w:rFonts w:ascii="Times New Roman" w:hAnsi="Times New Roman"/>
          <w:i/>
          <w:sz w:val="24"/>
          <w:szCs w:val="24"/>
          <w:lang w:val="it-IT" w:eastAsia="it-IT"/>
        </w:rPr>
        <w:t>European Journal of Personality.</w:t>
      </w:r>
    </w:p>
    <w:p w14:paraId="3CEFB764"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Shah, J. Y., Kruglanski, A. W., &amp; Friedman, R. (2003). Goal systems theory: Integrating the cognitive and motivational aspects of self-regulation. In S. J. Spencer, S. Fein, &amp; M. P. Zanna (Eds.), </w:t>
      </w:r>
      <w:r w:rsidRPr="00FB206C">
        <w:rPr>
          <w:rFonts w:ascii="Times New Roman" w:hAnsi="Times New Roman"/>
          <w:i/>
          <w:iCs/>
          <w:sz w:val="24"/>
          <w:szCs w:val="24"/>
          <w:lang w:val="it-IT" w:eastAsia="it-IT"/>
        </w:rPr>
        <w:t>Motivated social perception: The Ontario symposium, Vol. 9</w:t>
      </w:r>
      <w:r w:rsidRPr="00FB206C">
        <w:rPr>
          <w:rFonts w:ascii="Times New Roman" w:hAnsi="Times New Roman"/>
          <w:sz w:val="24"/>
          <w:szCs w:val="24"/>
          <w:lang w:val="it-IT" w:eastAsia="it-IT"/>
        </w:rPr>
        <w:t xml:space="preserve"> (pp. 247–275). Mahwah, NJ: Lawrence Erlbaum Associates.</w:t>
      </w:r>
    </w:p>
    <w:p w14:paraId="535B4148"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Sheldon, K. M. (2014). Becoming oneself: The central role of self-concordant goal selection. </w:t>
      </w:r>
      <w:r w:rsidRPr="00FB206C">
        <w:rPr>
          <w:rFonts w:ascii="Times New Roman" w:hAnsi="Times New Roman"/>
          <w:i/>
          <w:iCs/>
          <w:sz w:val="24"/>
          <w:szCs w:val="24"/>
          <w:lang w:val="it-IT" w:eastAsia="it-IT"/>
        </w:rPr>
        <w:lastRenderedPageBreak/>
        <w:t>Personality and Social Psychology Review</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18</w:t>
      </w:r>
      <w:r w:rsidRPr="00FB206C">
        <w:rPr>
          <w:rFonts w:ascii="Times New Roman" w:hAnsi="Times New Roman"/>
          <w:sz w:val="24"/>
          <w:szCs w:val="24"/>
          <w:lang w:val="it-IT" w:eastAsia="it-IT"/>
        </w:rPr>
        <w:t>(4), 349–365. https://doi.org/10.1177/1088868314538549</w:t>
      </w:r>
    </w:p>
    <w:p w14:paraId="6EE44BB5"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Sheldon, K. M., &amp; Elliot, A. J. (1998). Not all personal goals are personal: Comparing autonomous and controlled reasons for goals as predictors of effort and attainment. </w:t>
      </w:r>
      <w:r w:rsidRPr="00FB206C">
        <w:rPr>
          <w:rFonts w:ascii="Times New Roman" w:hAnsi="Times New Roman"/>
          <w:i/>
          <w:iCs/>
          <w:sz w:val="24"/>
          <w:szCs w:val="24"/>
          <w:lang w:val="it-IT" w:eastAsia="it-IT"/>
        </w:rPr>
        <w:t>Personality and Social Psychology Bulletin</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24</w:t>
      </w:r>
      <w:r w:rsidRPr="00FB206C">
        <w:rPr>
          <w:rFonts w:ascii="Times New Roman" w:hAnsi="Times New Roman"/>
          <w:sz w:val="24"/>
          <w:szCs w:val="24"/>
          <w:lang w:val="it-IT" w:eastAsia="it-IT"/>
        </w:rPr>
        <w:t>(5), 546–557. https://doi.org/10.1177/0146167298245010</w:t>
      </w:r>
    </w:p>
    <w:p w14:paraId="473955D1"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Shiffman, S., Stone, A. A., &amp; Hufford, M. R. (2008). Ecological momentary assessment. </w:t>
      </w:r>
      <w:r w:rsidRPr="00FB206C">
        <w:rPr>
          <w:rFonts w:ascii="Times New Roman" w:hAnsi="Times New Roman"/>
          <w:i/>
          <w:iCs/>
          <w:sz w:val="24"/>
          <w:szCs w:val="24"/>
          <w:lang w:val="it-IT" w:eastAsia="it-IT"/>
        </w:rPr>
        <w:t>Annual Review of Clinical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4</w:t>
      </w:r>
      <w:r w:rsidRPr="00FB206C">
        <w:rPr>
          <w:rFonts w:ascii="Times New Roman" w:hAnsi="Times New Roman"/>
          <w:sz w:val="24"/>
          <w:szCs w:val="24"/>
          <w:lang w:val="it-IT" w:eastAsia="it-IT"/>
        </w:rPr>
        <w:t>(1), 1–32. https://doi.org/10.1146/annurev.clinpsy.3.022806.091415</w:t>
      </w:r>
    </w:p>
    <w:p w14:paraId="7D9DFE86" w14:textId="77777777" w:rsidR="00061155" w:rsidRDefault="00061155">
      <w:pPr>
        <w:widowControl w:val="0"/>
        <w:autoSpaceDE w:val="0"/>
        <w:spacing w:line="480" w:lineRule="auto"/>
        <w:ind w:left="480" w:hanging="480"/>
      </w:pPr>
      <w:r>
        <w:rPr>
          <w:rFonts w:ascii="Times New Roman" w:hAnsi="Times New Roman"/>
          <w:sz w:val="24"/>
          <w:szCs w:val="24"/>
          <w:lang w:val="it-IT" w:eastAsia="it-IT"/>
        </w:rPr>
        <w:t xml:space="preserve">Sorić, I., Penezić, Z., &amp; Burić, I. (2017). </w:t>
      </w:r>
      <w:r w:rsidRPr="00FB206C">
        <w:rPr>
          <w:rFonts w:ascii="Times New Roman" w:hAnsi="Times New Roman"/>
          <w:sz w:val="24"/>
          <w:szCs w:val="24"/>
          <w:lang w:val="it-IT" w:eastAsia="it-IT"/>
        </w:rPr>
        <w:t xml:space="preserve">The Big Five personality traits, goal orientations, and academic achievement. </w:t>
      </w:r>
      <w:r w:rsidRPr="00FB206C">
        <w:rPr>
          <w:rFonts w:ascii="Times New Roman" w:hAnsi="Times New Roman"/>
          <w:i/>
          <w:iCs/>
          <w:sz w:val="24"/>
          <w:szCs w:val="24"/>
          <w:lang w:val="it-IT" w:eastAsia="it-IT"/>
        </w:rPr>
        <w:t>Learning and Individual Differences</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54</w:t>
      </w:r>
      <w:r w:rsidRPr="00FB206C">
        <w:rPr>
          <w:rFonts w:ascii="Times New Roman" w:hAnsi="Times New Roman"/>
          <w:sz w:val="24"/>
          <w:szCs w:val="24"/>
          <w:lang w:val="it-IT" w:eastAsia="it-IT"/>
        </w:rPr>
        <w:t>, 126–134. https://doi.org/10.1016/j.lindif.2017.01.024</w:t>
      </w:r>
    </w:p>
    <w:p w14:paraId="313A6573"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Specht, J., Egloff, B., &amp; Schmukle, S. C. (2011). Stability and change of personality across the life course: The impact of age and major life events on mean-level and rank-order stability of the Big Five. </w:t>
      </w:r>
      <w:r w:rsidRPr="00FB206C">
        <w:rPr>
          <w:rFonts w:ascii="Times New Roman" w:hAnsi="Times New Roman"/>
          <w:i/>
          <w:iCs/>
          <w:sz w:val="24"/>
          <w:szCs w:val="24"/>
          <w:lang w:val="it-IT" w:eastAsia="it-IT"/>
        </w:rPr>
        <w:t>Journal of Personality and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101</w:t>
      </w:r>
      <w:r w:rsidRPr="00FB206C">
        <w:rPr>
          <w:rFonts w:ascii="Times New Roman" w:hAnsi="Times New Roman"/>
          <w:sz w:val="24"/>
          <w:szCs w:val="24"/>
          <w:lang w:val="it-IT" w:eastAsia="it-IT"/>
        </w:rPr>
        <w:t>(4), 862–882. https://doi.org/10.1037/a0024950</w:t>
      </w:r>
    </w:p>
    <w:p w14:paraId="2852AF8A" w14:textId="77777777" w:rsidR="00061155" w:rsidRPr="00FB206C" w:rsidRDefault="00061155">
      <w:pPr>
        <w:widowControl w:val="0"/>
        <w:autoSpaceDE w:val="0"/>
        <w:spacing w:line="480" w:lineRule="auto"/>
        <w:ind w:left="480" w:hanging="480"/>
        <w:rPr>
          <w:rFonts w:ascii="Times New Roman" w:hAnsi="Times New Roman"/>
          <w:sz w:val="24"/>
          <w:szCs w:val="24"/>
          <w:lang w:val="it-IT" w:eastAsia="it-IT"/>
        </w:rPr>
      </w:pPr>
      <w:r w:rsidRPr="00FB206C">
        <w:rPr>
          <w:rFonts w:ascii="Times New Roman" w:hAnsi="Times New Roman"/>
          <w:sz w:val="24"/>
          <w:szCs w:val="24"/>
          <w:lang w:val="it-IT" w:eastAsia="it-IT"/>
        </w:rPr>
        <w:t xml:space="preserve">Strathman, A., Gleicher, F., Boninger, D. S., &amp; Edwards, C. S. (1994). The consideration of future consequences: Weighing immediate and distant outcomes of behavior. </w:t>
      </w:r>
      <w:r w:rsidRPr="00FB206C">
        <w:rPr>
          <w:rFonts w:ascii="Times New Roman" w:hAnsi="Times New Roman"/>
          <w:i/>
          <w:iCs/>
          <w:sz w:val="24"/>
          <w:szCs w:val="24"/>
          <w:lang w:val="it-IT" w:eastAsia="it-IT"/>
        </w:rPr>
        <w:t>Journal of Personality and Social Psychology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66</w:t>
      </w:r>
      <w:r w:rsidRPr="00FB206C">
        <w:rPr>
          <w:rFonts w:ascii="Times New Roman" w:hAnsi="Times New Roman"/>
          <w:sz w:val="24"/>
          <w:szCs w:val="24"/>
          <w:lang w:val="it-IT" w:eastAsia="it-IT"/>
        </w:rPr>
        <w:t xml:space="preserve">(4), 742–752. </w:t>
      </w:r>
      <w:hyperlink r:id="rId23" w:history="1">
        <w:r w:rsidRPr="00FB206C">
          <w:rPr>
            <w:rStyle w:val="Collegamentoipertestuale"/>
            <w:rFonts w:ascii="Times New Roman" w:hAnsi="Times New Roman"/>
            <w:sz w:val="24"/>
            <w:szCs w:val="24"/>
            <w:lang w:val="it-IT" w:eastAsia="it-IT"/>
          </w:rPr>
          <w:t>https://doi.org/10.1037/0022-3514.66.4.742</w:t>
        </w:r>
      </w:hyperlink>
    </w:p>
    <w:p w14:paraId="072514E8"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Tang, T. Z., DeRubeis, R. J., Hollon, S. D., Amsterdam, J., Shelton, R., &amp; Schalet, B. (2009). Personality change during depression treatment. </w:t>
      </w:r>
      <w:r w:rsidRPr="00FB206C">
        <w:rPr>
          <w:rFonts w:ascii="Times New Roman" w:hAnsi="Times New Roman"/>
          <w:i/>
          <w:sz w:val="24"/>
          <w:szCs w:val="24"/>
          <w:lang w:val="it-IT" w:eastAsia="it-IT"/>
        </w:rPr>
        <w:t>Archives of General Psychiatry, 66</w:t>
      </w:r>
      <w:r w:rsidRPr="00FB206C">
        <w:rPr>
          <w:rFonts w:ascii="Times New Roman" w:hAnsi="Times New Roman"/>
          <w:sz w:val="24"/>
          <w:szCs w:val="24"/>
          <w:lang w:val="it-IT" w:eastAsia="it-IT"/>
        </w:rPr>
        <w:t>(12), 1322. https://doi.org/10.1001/archgenpsychiatry.2009.166</w:t>
      </w:r>
    </w:p>
    <w:p w14:paraId="349FBE9B"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Tangney, J. P., Baumeister, R. F., &amp; Boone, A. L. (2004). High self-control predicts good adjustment, less pathology, better grades, and interpersonal success. </w:t>
      </w:r>
      <w:r w:rsidRPr="00FB206C">
        <w:rPr>
          <w:rFonts w:ascii="Times New Roman" w:hAnsi="Times New Roman"/>
          <w:i/>
          <w:iCs/>
          <w:sz w:val="24"/>
          <w:szCs w:val="24"/>
          <w:lang w:val="it-IT" w:eastAsia="it-IT"/>
        </w:rPr>
        <w:t>Journal of Personality</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72</w:t>
      </w:r>
      <w:r w:rsidRPr="00FB206C">
        <w:rPr>
          <w:rFonts w:ascii="Times New Roman" w:hAnsi="Times New Roman"/>
          <w:sz w:val="24"/>
          <w:szCs w:val="24"/>
          <w:lang w:val="it-IT" w:eastAsia="it-IT"/>
        </w:rPr>
        <w:t>(2), 271–324. https://doi.org/10.1111/j.0022-3506.2004.00263.x</w:t>
      </w:r>
    </w:p>
    <w:p w14:paraId="6F600E3B"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Trope, Y., &amp; Liberman, N. (2010). Construal-level theory of psychological distance. </w:t>
      </w:r>
      <w:r w:rsidRPr="00FB206C">
        <w:rPr>
          <w:rFonts w:ascii="Times New Roman" w:hAnsi="Times New Roman"/>
          <w:i/>
          <w:iCs/>
          <w:sz w:val="24"/>
          <w:szCs w:val="24"/>
          <w:lang w:val="it-IT" w:eastAsia="it-IT"/>
        </w:rPr>
        <w:t>Psychological Review</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117</w:t>
      </w:r>
      <w:r w:rsidRPr="00FB206C">
        <w:rPr>
          <w:rFonts w:ascii="Times New Roman" w:hAnsi="Times New Roman"/>
          <w:sz w:val="24"/>
          <w:szCs w:val="24"/>
          <w:lang w:val="it-IT" w:eastAsia="it-IT"/>
        </w:rPr>
        <w:t>(2), 440–463. https://doi.org/10.1037/a0018963</w:t>
      </w:r>
    </w:p>
    <w:p w14:paraId="530EEA0A"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lastRenderedPageBreak/>
        <w:t>van Borkulo, C. D., Boschloo, L., Kossakowski, J. J., Tio, P., Schoevers, R. A., Borsboom, D., … Boschloo, L. (2017). Comparing network structures on three aspects. https://doi.org/10.13140/RG.2.2.29455.38569</w:t>
      </w:r>
    </w:p>
    <w:p w14:paraId="7E355E2A"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Wood, D., Gardner, M. H., &amp; Harms, P. D. (2015). How functionalist and process approaches to behavior can explain trait covariation. </w:t>
      </w:r>
      <w:r w:rsidRPr="00FB206C">
        <w:rPr>
          <w:rFonts w:ascii="Times New Roman" w:hAnsi="Times New Roman"/>
          <w:i/>
          <w:iCs/>
          <w:sz w:val="24"/>
          <w:szCs w:val="24"/>
          <w:lang w:val="it-IT" w:eastAsia="it-IT"/>
        </w:rPr>
        <w:t>Psychological Review</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122</w:t>
      </w:r>
      <w:r w:rsidRPr="00FB206C">
        <w:rPr>
          <w:rFonts w:ascii="Times New Roman" w:hAnsi="Times New Roman"/>
          <w:sz w:val="24"/>
          <w:szCs w:val="24"/>
          <w:lang w:val="it-IT" w:eastAsia="it-IT"/>
        </w:rPr>
        <w:t>(1), 84–111. https://doi.org/10.1037/a0038423</w:t>
      </w:r>
    </w:p>
    <w:p w14:paraId="606A7DF9" w14:textId="77777777" w:rsidR="00061155" w:rsidRDefault="00061155">
      <w:pPr>
        <w:widowControl w:val="0"/>
        <w:autoSpaceDE w:val="0"/>
        <w:spacing w:line="480" w:lineRule="auto"/>
        <w:ind w:left="480" w:hanging="480"/>
      </w:pPr>
      <w:r w:rsidRPr="00FB206C">
        <w:rPr>
          <w:rFonts w:ascii="Times New Roman" w:hAnsi="Times New Roman"/>
          <w:sz w:val="24"/>
          <w:szCs w:val="24"/>
          <w:lang w:val="it-IT" w:eastAsia="it-IT"/>
        </w:rPr>
        <w:t xml:space="preserve">Wrzus, C., &amp; Roberts, B. W. (2017). Processes of personality development in adulthood: the TESSERA framework. </w:t>
      </w:r>
      <w:r w:rsidRPr="00FB206C">
        <w:rPr>
          <w:rFonts w:ascii="Times New Roman" w:hAnsi="Times New Roman"/>
          <w:i/>
          <w:iCs/>
          <w:sz w:val="24"/>
          <w:szCs w:val="24"/>
          <w:lang w:val="it-IT" w:eastAsia="it-IT"/>
        </w:rPr>
        <w:t>Personality and Social Psychology Review</w:t>
      </w:r>
      <w:r w:rsidRPr="00FB206C">
        <w:rPr>
          <w:rFonts w:ascii="Times New Roman" w:hAnsi="Times New Roman"/>
          <w:sz w:val="24"/>
          <w:szCs w:val="24"/>
          <w:lang w:val="it-IT" w:eastAsia="it-IT"/>
        </w:rPr>
        <w:t xml:space="preserve">, </w:t>
      </w:r>
      <w:r w:rsidRPr="00FB206C">
        <w:rPr>
          <w:rFonts w:ascii="Times New Roman" w:hAnsi="Times New Roman"/>
          <w:i/>
          <w:iCs/>
          <w:sz w:val="24"/>
          <w:szCs w:val="24"/>
          <w:lang w:val="it-IT" w:eastAsia="it-IT"/>
        </w:rPr>
        <w:t>21</w:t>
      </w:r>
      <w:r w:rsidRPr="00FB206C">
        <w:rPr>
          <w:rFonts w:ascii="Times New Roman" w:hAnsi="Times New Roman"/>
          <w:sz w:val="24"/>
          <w:szCs w:val="24"/>
          <w:lang w:val="it-IT" w:eastAsia="it-IT"/>
        </w:rPr>
        <w:t>(3), 253–277. https://doi.org/10.1177/1088868316652279</w:t>
      </w:r>
    </w:p>
    <w:p w14:paraId="706F9817" w14:textId="77777777" w:rsidR="00061155" w:rsidRDefault="00061155">
      <w:pPr>
        <w:widowControl w:val="0"/>
        <w:autoSpaceDE w:val="0"/>
        <w:spacing w:line="480" w:lineRule="auto"/>
        <w:ind w:left="480" w:hanging="480"/>
      </w:pPr>
      <w:r w:rsidRPr="00D40F56">
        <w:rPr>
          <w:rFonts w:ascii="Times New Roman" w:hAnsi="Times New Roman"/>
          <w:sz w:val="24"/>
        </w:rPr>
        <w:t xml:space="preserve">Zimbardo, P. G., &amp; Boyd, J. N. (1999). </w:t>
      </w:r>
      <w:r w:rsidRPr="00FB206C">
        <w:rPr>
          <w:rFonts w:ascii="Times New Roman" w:hAnsi="Times New Roman"/>
          <w:sz w:val="24"/>
          <w:szCs w:val="24"/>
          <w:lang w:val="it-IT" w:eastAsia="it-IT"/>
        </w:rPr>
        <w:t xml:space="preserve">Putting time in perspective: A valid, reliable individual-differences metric. </w:t>
      </w:r>
      <w:r>
        <w:rPr>
          <w:rFonts w:ascii="Times New Roman" w:hAnsi="Times New Roman"/>
          <w:i/>
          <w:iCs/>
          <w:sz w:val="24"/>
          <w:szCs w:val="24"/>
          <w:lang w:val="it-IT" w:eastAsia="it-IT"/>
        </w:rPr>
        <w:t>Journal of Personality and Social Psychology</w:t>
      </w:r>
      <w:r>
        <w:rPr>
          <w:rFonts w:ascii="Times New Roman" w:hAnsi="Times New Roman"/>
          <w:sz w:val="24"/>
          <w:szCs w:val="24"/>
          <w:lang w:val="it-IT" w:eastAsia="it-IT"/>
        </w:rPr>
        <w:t xml:space="preserve">, </w:t>
      </w:r>
      <w:r>
        <w:rPr>
          <w:rFonts w:ascii="Times New Roman" w:hAnsi="Times New Roman"/>
          <w:i/>
          <w:iCs/>
          <w:sz w:val="24"/>
          <w:szCs w:val="24"/>
          <w:lang w:val="it-IT" w:eastAsia="it-IT"/>
        </w:rPr>
        <w:t>77</w:t>
      </w:r>
      <w:r>
        <w:rPr>
          <w:rFonts w:ascii="Times New Roman" w:hAnsi="Times New Roman"/>
          <w:sz w:val="24"/>
          <w:szCs w:val="24"/>
          <w:lang w:val="it-IT" w:eastAsia="it-IT"/>
        </w:rPr>
        <w:t xml:space="preserve">(6), 1271–1288. </w:t>
      </w:r>
      <w:hyperlink r:id="rId24" w:history="1">
        <w:r>
          <w:rPr>
            <w:rStyle w:val="Collegamentoipertestuale"/>
            <w:rFonts w:ascii="Times New Roman" w:hAnsi="Times New Roman"/>
            <w:sz w:val="24"/>
            <w:szCs w:val="24"/>
            <w:lang w:val="it-IT" w:eastAsia="it-IT"/>
          </w:rPr>
          <w:t>https://doi.org/10.1037/0022-3514.77.6.1271</w:t>
        </w:r>
      </w:hyperlink>
    </w:p>
    <w:p w14:paraId="042A9402" w14:textId="77777777" w:rsidR="00061155" w:rsidRDefault="00061155">
      <w:pPr>
        <w:pStyle w:val="Titolo1"/>
        <w:pageBreakBefore/>
      </w:pPr>
      <w:r>
        <w:lastRenderedPageBreak/>
        <w:t>Tables</w:t>
      </w:r>
    </w:p>
    <w:p w14:paraId="707CC8B2" w14:textId="77777777" w:rsidR="00061155" w:rsidRDefault="00061155">
      <w:pPr>
        <w:ind w:firstLine="0"/>
      </w:pPr>
      <w:r>
        <w:rPr>
          <w:rFonts w:ascii="Times New Roman" w:hAnsi="Times New Roman"/>
          <w:i/>
          <w:sz w:val="24"/>
          <w:szCs w:val="24"/>
        </w:rPr>
        <w:t>Table 1. Summary of the three-step procedure.</w:t>
      </w:r>
    </w:p>
    <w:p w14:paraId="7E2C48CD" w14:textId="77777777" w:rsidR="00061155" w:rsidRDefault="00061155">
      <w:pPr>
        <w:ind w:firstLine="0"/>
        <w:rPr>
          <w:rFonts w:ascii="Times New Roman" w:hAnsi="Times New Roman"/>
          <w:i/>
          <w:sz w:val="24"/>
          <w:szCs w:val="24"/>
        </w:rPr>
      </w:pPr>
    </w:p>
    <w:tbl>
      <w:tblPr>
        <w:tblW w:w="0" w:type="auto"/>
        <w:tblLayout w:type="fixed"/>
        <w:tblLook w:val="0000" w:firstRow="0" w:lastRow="0" w:firstColumn="0" w:lastColumn="0" w:noHBand="0" w:noVBand="0"/>
      </w:tblPr>
      <w:tblGrid>
        <w:gridCol w:w="643"/>
        <w:gridCol w:w="4492"/>
        <w:gridCol w:w="4493"/>
      </w:tblGrid>
      <w:tr w:rsidR="00061155" w14:paraId="1D2281FB" w14:textId="77777777">
        <w:trPr>
          <w:trHeight w:val="737"/>
        </w:trPr>
        <w:tc>
          <w:tcPr>
            <w:tcW w:w="643" w:type="dxa"/>
            <w:tcBorders>
              <w:top w:val="single" w:sz="4" w:space="0" w:color="000000"/>
              <w:left w:val="none" w:sz="0" w:space="0" w:color="000000"/>
              <w:bottom w:val="single" w:sz="4" w:space="0" w:color="000000"/>
            </w:tcBorders>
            <w:shd w:val="clear" w:color="auto" w:fill="auto"/>
            <w:vAlign w:val="center"/>
          </w:tcPr>
          <w:p w14:paraId="03F1CF4C" w14:textId="77777777" w:rsidR="00061155" w:rsidRDefault="00061155">
            <w:pPr>
              <w:spacing w:line="240" w:lineRule="auto"/>
              <w:ind w:firstLine="0"/>
              <w:jc w:val="center"/>
            </w:pPr>
            <w:r>
              <w:rPr>
                <w:rFonts w:ascii="Times New Roman" w:hAnsi="Times New Roman"/>
                <w:sz w:val="24"/>
                <w:szCs w:val="24"/>
              </w:rPr>
              <w:t>Step</w:t>
            </w:r>
          </w:p>
        </w:tc>
        <w:tc>
          <w:tcPr>
            <w:tcW w:w="4492" w:type="dxa"/>
            <w:tcBorders>
              <w:top w:val="single" w:sz="4" w:space="0" w:color="000000"/>
              <w:left w:val="none" w:sz="0" w:space="0" w:color="000000"/>
              <w:bottom w:val="single" w:sz="4" w:space="0" w:color="000000"/>
            </w:tcBorders>
            <w:shd w:val="clear" w:color="auto" w:fill="auto"/>
            <w:vAlign w:val="center"/>
          </w:tcPr>
          <w:p w14:paraId="6EAA3C98" w14:textId="77777777" w:rsidR="00061155" w:rsidRDefault="00061155">
            <w:pPr>
              <w:spacing w:line="240" w:lineRule="auto"/>
              <w:ind w:firstLine="0"/>
              <w:jc w:val="center"/>
            </w:pPr>
            <w:r>
              <w:rPr>
                <w:rFonts w:ascii="Times New Roman" w:hAnsi="Times New Roman"/>
                <w:sz w:val="24"/>
                <w:szCs w:val="24"/>
              </w:rPr>
              <w:t>Rationale</w:t>
            </w:r>
          </w:p>
        </w:tc>
        <w:tc>
          <w:tcPr>
            <w:tcW w:w="4493" w:type="dxa"/>
            <w:tcBorders>
              <w:top w:val="single" w:sz="4" w:space="0" w:color="000000"/>
              <w:left w:val="none" w:sz="0" w:space="0" w:color="000000"/>
              <w:bottom w:val="single" w:sz="4" w:space="0" w:color="000000"/>
              <w:right w:val="none" w:sz="0" w:space="0" w:color="000000"/>
            </w:tcBorders>
            <w:shd w:val="clear" w:color="auto" w:fill="auto"/>
            <w:vAlign w:val="center"/>
          </w:tcPr>
          <w:p w14:paraId="13E396F2" w14:textId="77777777" w:rsidR="00061155" w:rsidRDefault="00061155">
            <w:pPr>
              <w:spacing w:line="240" w:lineRule="auto"/>
              <w:ind w:firstLine="0"/>
              <w:jc w:val="center"/>
            </w:pPr>
            <w:r>
              <w:rPr>
                <w:rFonts w:ascii="Times New Roman" w:hAnsi="Times New Roman"/>
                <w:sz w:val="24"/>
                <w:szCs w:val="24"/>
              </w:rPr>
              <w:t>Possible methodology</w:t>
            </w:r>
          </w:p>
        </w:tc>
      </w:tr>
      <w:tr w:rsidR="00061155" w14:paraId="5EBEB754" w14:textId="77777777">
        <w:trPr>
          <w:trHeight w:val="737"/>
        </w:trPr>
        <w:tc>
          <w:tcPr>
            <w:tcW w:w="643" w:type="dxa"/>
            <w:tcBorders>
              <w:top w:val="single" w:sz="4" w:space="0" w:color="000000"/>
              <w:left w:val="none" w:sz="0" w:space="0" w:color="000000"/>
              <w:bottom w:val="none" w:sz="0" w:space="0" w:color="000000"/>
            </w:tcBorders>
            <w:shd w:val="clear" w:color="auto" w:fill="auto"/>
            <w:vAlign w:val="center"/>
          </w:tcPr>
          <w:p w14:paraId="4FE13946" w14:textId="77777777" w:rsidR="00061155" w:rsidRDefault="00061155">
            <w:pPr>
              <w:spacing w:line="240" w:lineRule="auto"/>
              <w:ind w:firstLine="0"/>
            </w:pPr>
            <w:r>
              <w:rPr>
                <w:rFonts w:ascii="Times New Roman" w:hAnsi="Times New Roman"/>
                <w:sz w:val="24"/>
                <w:szCs w:val="24"/>
              </w:rPr>
              <w:t>1</w:t>
            </w:r>
          </w:p>
        </w:tc>
        <w:tc>
          <w:tcPr>
            <w:tcW w:w="4492" w:type="dxa"/>
            <w:tcBorders>
              <w:top w:val="single" w:sz="4" w:space="0" w:color="000000"/>
              <w:left w:val="none" w:sz="0" w:space="0" w:color="000000"/>
              <w:bottom w:val="none" w:sz="0" w:space="0" w:color="000000"/>
            </w:tcBorders>
            <w:shd w:val="clear" w:color="auto" w:fill="auto"/>
            <w:vAlign w:val="center"/>
          </w:tcPr>
          <w:p w14:paraId="0E5F0A06" w14:textId="77777777" w:rsidR="00061155" w:rsidRDefault="00061155">
            <w:pPr>
              <w:spacing w:line="240" w:lineRule="auto"/>
              <w:ind w:firstLine="0"/>
            </w:pPr>
            <w:r>
              <w:rPr>
                <w:rFonts w:ascii="Times New Roman" w:hAnsi="Times New Roman"/>
                <w:sz w:val="24"/>
                <w:szCs w:val="24"/>
              </w:rPr>
              <w:t>Identify a candidate target for manipulation.</w:t>
            </w:r>
          </w:p>
        </w:tc>
        <w:tc>
          <w:tcPr>
            <w:tcW w:w="4493" w:type="dxa"/>
            <w:tcBorders>
              <w:top w:val="single" w:sz="4" w:space="0" w:color="000000"/>
              <w:left w:val="none" w:sz="0" w:space="0" w:color="000000"/>
              <w:bottom w:val="none" w:sz="0" w:space="0" w:color="000000"/>
              <w:right w:val="none" w:sz="0" w:space="0" w:color="000000"/>
            </w:tcBorders>
            <w:shd w:val="clear" w:color="auto" w:fill="auto"/>
            <w:vAlign w:val="center"/>
          </w:tcPr>
          <w:p w14:paraId="6F10489E" w14:textId="77777777" w:rsidR="00061155" w:rsidRDefault="00061155">
            <w:pPr>
              <w:spacing w:line="240" w:lineRule="auto"/>
              <w:ind w:firstLine="0"/>
            </w:pPr>
            <w:r>
              <w:rPr>
                <w:rFonts w:ascii="Times New Roman" w:hAnsi="Times New Roman"/>
                <w:sz w:val="24"/>
                <w:szCs w:val="24"/>
              </w:rPr>
              <w:t>Network analysis</w:t>
            </w:r>
          </w:p>
        </w:tc>
      </w:tr>
      <w:tr w:rsidR="00061155" w14:paraId="3FCA16A1" w14:textId="77777777">
        <w:trPr>
          <w:trHeight w:val="737"/>
        </w:trPr>
        <w:tc>
          <w:tcPr>
            <w:tcW w:w="643" w:type="dxa"/>
            <w:shd w:val="clear" w:color="auto" w:fill="auto"/>
            <w:vAlign w:val="center"/>
          </w:tcPr>
          <w:p w14:paraId="558BFAF0" w14:textId="77777777" w:rsidR="00061155" w:rsidRDefault="00061155">
            <w:pPr>
              <w:spacing w:line="240" w:lineRule="auto"/>
              <w:ind w:firstLine="0"/>
            </w:pPr>
            <w:r>
              <w:rPr>
                <w:rFonts w:ascii="Times New Roman" w:hAnsi="Times New Roman"/>
                <w:sz w:val="24"/>
                <w:szCs w:val="24"/>
              </w:rPr>
              <w:t>2</w:t>
            </w:r>
          </w:p>
        </w:tc>
        <w:tc>
          <w:tcPr>
            <w:tcW w:w="4492" w:type="dxa"/>
            <w:shd w:val="clear" w:color="auto" w:fill="auto"/>
            <w:vAlign w:val="center"/>
          </w:tcPr>
          <w:p w14:paraId="7626B8D4" w14:textId="77777777" w:rsidR="00061155" w:rsidRDefault="00061155">
            <w:pPr>
              <w:spacing w:line="240" w:lineRule="auto"/>
              <w:ind w:firstLine="0"/>
            </w:pPr>
            <w:r>
              <w:rPr>
                <w:rFonts w:ascii="Times New Roman" w:hAnsi="Times New Roman"/>
                <w:sz w:val="24"/>
                <w:szCs w:val="24"/>
              </w:rPr>
              <w:t>Develop a successful experimental manipulation of the target</w:t>
            </w:r>
          </w:p>
        </w:tc>
        <w:tc>
          <w:tcPr>
            <w:tcW w:w="4493" w:type="dxa"/>
            <w:shd w:val="clear" w:color="auto" w:fill="auto"/>
            <w:vAlign w:val="center"/>
          </w:tcPr>
          <w:p w14:paraId="468D8F95" w14:textId="77777777" w:rsidR="00061155" w:rsidRDefault="00061155">
            <w:pPr>
              <w:spacing w:line="240" w:lineRule="auto"/>
              <w:ind w:firstLine="0"/>
            </w:pPr>
            <w:r>
              <w:rPr>
                <w:rFonts w:ascii="Times New Roman" w:hAnsi="Times New Roman"/>
                <w:sz w:val="24"/>
                <w:szCs w:val="24"/>
              </w:rPr>
              <w:t>Laboratory experiments</w:t>
            </w:r>
          </w:p>
        </w:tc>
      </w:tr>
      <w:tr w:rsidR="00061155" w14:paraId="4FE8E83F" w14:textId="77777777">
        <w:trPr>
          <w:trHeight w:val="737"/>
        </w:trPr>
        <w:tc>
          <w:tcPr>
            <w:tcW w:w="643" w:type="dxa"/>
            <w:tcBorders>
              <w:top w:val="none" w:sz="0" w:space="0" w:color="000000"/>
              <w:left w:val="none" w:sz="0" w:space="0" w:color="000000"/>
              <w:bottom w:val="single" w:sz="4" w:space="0" w:color="000000"/>
            </w:tcBorders>
            <w:shd w:val="clear" w:color="auto" w:fill="auto"/>
            <w:vAlign w:val="center"/>
          </w:tcPr>
          <w:p w14:paraId="46D2ED9D" w14:textId="77777777" w:rsidR="00061155" w:rsidRDefault="00061155">
            <w:pPr>
              <w:spacing w:line="240" w:lineRule="auto"/>
              <w:ind w:firstLine="0"/>
            </w:pPr>
            <w:bookmarkStart w:id="33" w:name="_Hlk506975762"/>
            <w:bookmarkEnd w:id="33"/>
            <w:r>
              <w:rPr>
                <w:rFonts w:ascii="Times New Roman" w:hAnsi="Times New Roman"/>
                <w:sz w:val="24"/>
                <w:szCs w:val="24"/>
              </w:rPr>
              <w:t>3</w:t>
            </w:r>
          </w:p>
        </w:tc>
        <w:tc>
          <w:tcPr>
            <w:tcW w:w="4492" w:type="dxa"/>
            <w:tcBorders>
              <w:top w:val="none" w:sz="0" w:space="0" w:color="000000"/>
              <w:left w:val="none" w:sz="0" w:space="0" w:color="000000"/>
              <w:bottom w:val="single" w:sz="4" w:space="0" w:color="000000"/>
            </w:tcBorders>
            <w:shd w:val="clear" w:color="auto" w:fill="auto"/>
            <w:vAlign w:val="center"/>
          </w:tcPr>
          <w:p w14:paraId="24F272AF" w14:textId="77777777" w:rsidR="00061155" w:rsidRDefault="00061155">
            <w:pPr>
              <w:spacing w:line="240" w:lineRule="auto"/>
              <w:ind w:firstLine="0"/>
            </w:pPr>
            <w:r>
              <w:rPr>
                <w:rFonts w:ascii="Times New Roman" w:hAnsi="Times New Roman"/>
                <w:sz w:val="24"/>
                <w:szCs w:val="24"/>
              </w:rPr>
              <w:t>Deliver the manipulation repeatedly for a congruous amount of time and evaluate its ability to generate trait change</w:t>
            </w:r>
          </w:p>
        </w:tc>
        <w:tc>
          <w:tcPr>
            <w:tcW w:w="4493" w:type="dxa"/>
            <w:tcBorders>
              <w:top w:val="none" w:sz="0" w:space="0" w:color="000000"/>
              <w:left w:val="none" w:sz="0" w:space="0" w:color="000000"/>
              <w:bottom w:val="single" w:sz="4" w:space="0" w:color="000000"/>
              <w:right w:val="none" w:sz="0" w:space="0" w:color="000000"/>
            </w:tcBorders>
            <w:shd w:val="clear" w:color="auto" w:fill="auto"/>
            <w:vAlign w:val="center"/>
          </w:tcPr>
          <w:p w14:paraId="04266477" w14:textId="77777777" w:rsidR="00061155" w:rsidRDefault="00061155">
            <w:pPr>
              <w:spacing w:line="240" w:lineRule="auto"/>
              <w:ind w:firstLine="0"/>
            </w:pPr>
            <w:r>
              <w:rPr>
                <w:rFonts w:ascii="Times New Roman" w:hAnsi="Times New Roman"/>
                <w:sz w:val="24"/>
                <w:szCs w:val="24"/>
              </w:rPr>
              <w:t>Ecological Momentary Interventions</w:t>
            </w:r>
          </w:p>
        </w:tc>
      </w:tr>
    </w:tbl>
    <w:p w14:paraId="35228983" w14:textId="77777777" w:rsidR="00061155" w:rsidRDefault="00061155">
      <w:pPr>
        <w:spacing w:after="200" w:line="276" w:lineRule="auto"/>
        <w:ind w:firstLine="0"/>
        <w:rPr>
          <w:rFonts w:ascii="Times New Roman" w:hAnsi="Times New Roman"/>
          <w:sz w:val="24"/>
          <w:szCs w:val="24"/>
          <w:lang w:val="it-IT"/>
        </w:rPr>
      </w:pPr>
    </w:p>
    <w:p w14:paraId="09022B27" w14:textId="77777777" w:rsidR="00061155" w:rsidRDefault="00061155">
      <w:pPr>
        <w:spacing w:after="200" w:line="276" w:lineRule="auto"/>
        <w:ind w:firstLine="0"/>
        <w:rPr>
          <w:rFonts w:ascii="Times New Roman" w:hAnsi="Times New Roman"/>
          <w:sz w:val="24"/>
          <w:szCs w:val="24"/>
          <w:lang w:val="it-IT"/>
        </w:rPr>
      </w:pPr>
    </w:p>
    <w:p w14:paraId="333E325D" w14:textId="77777777" w:rsidR="00061155" w:rsidRDefault="00061155">
      <w:pPr>
        <w:sectPr w:rsidR="00061155">
          <w:headerReference w:type="default" r:id="rId25"/>
          <w:footerReference w:type="default" r:id="rId26"/>
          <w:headerReference w:type="first" r:id="rId27"/>
          <w:pgSz w:w="11906" w:h="16838"/>
          <w:pgMar w:top="1417" w:right="1134" w:bottom="1134" w:left="1134" w:header="708" w:footer="720" w:gutter="0"/>
          <w:cols w:space="720"/>
          <w:docGrid w:linePitch="360"/>
        </w:sectPr>
      </w:pPr>
    </w:p>
    <w:p w14:paraId="741EE04A" w14:textId="77777777" w:rsidR="00061155" w:rsidRDefault="00061155">
      <w:pPr>
        <w:pStyle w:val="ApaNormale"/>
        <w:spacing w:after="120" w:line="240" w:lineRule="auto"/>
        <w:ind w:firstLine="0"/>
        <w:jc w:val="both"/>
      </w:pPr>
      <w:r>
        <w:rPr>
          <w:i/>
        </w:rPr>
        <w:lastRenderedPageBreak/>
        <w:t>Table 2. Eliciting frequencies for 26 goal classes</w:t>
      </w:r>
      <w:r>
        <w:t xml:space="preserve">. </w:t>
      </w:r>
    </w:p>
    <w:tbl>
      <w:tblPr>
        <w:tblW w:w="0" w:type="auto"/>
        <w:tblLayout w:type="fixed"/>
        <w:tblLook w:val="0000" w:firstRow="0" w:lastRow="0" w:firstColumn="0" w:lastColumn="0" w:noHBand="0" w:noVBand="0"/>
      </w:tblPr>
      <w:tblGrid>
        <w:gridCol w:w="6231"/>
        <w:gridCol w:w="239"/>
        <w:gridCol w:w="603"/>
        <w:gridCol w:w="640"/>
        <w:gridCol w:w="669"/>
        <w:gridCol w:w="616"/>
        <w:gridCol w:w="463"/>
        <w:gridCol w:w="546"/>
        <w:gridCol w:w="239"/>
        <w:gridCol w:w="573"/>
        <w:gridCol w:w="609"/>
        <w:gridCol w:w="638"/>
        <w:gridCol w:w="586"/>
        <w:gridCol w:w="432"/>
        <w:gridCol w:w="515"/>
        <w:gridCol w:w="239"/>
        <w:gridCol w:w="449"/>
      </w:tblGrid>
      <w:tr w:rsidR="00061155" w14:paraId="18116436" w14:textId="77777777">
        <w:trPr>
          <w:trHeight w:val="244"/>
        </w:trPr>
        <w:tc>
          <w:tcPr>
            <w:tcW w:w="6231" w:type="dxa"/>
            <w:tcBorders>
              <w:top w:val="single" w:sz="4" w:space="0" w:color="00000A"/>
              <w:left w:val="none" w:sz="0" w:space="0" w:color="000000"/>
              <w:bottom w:val="single" w:sz="4" w:space="0" w:color="00000A"/>
            </w:tcBorders>
            <w:shd w:val="clear" w:color="auto" w:fill="auto"/>
            <w:vAlign w:val="center"/>
          </w:tcPr>
          <w:p w14:paraId="5F8F7429" w14:textId="77777777" w:rsidR="00061155" w:rsidRDefault="00061155">
            <w:pPr>
              <w:snapToGrid w:val="0"/>
              <w:spacing w:line="240" w:lineRule="auto"/>
              <w:ind w:firstLine="0"/>
              <w:rPr>
                <w:rFonts w:cs="Calibri"/>
                <w:color w:val="000000"/>
                <w:sz w:val="16"/>
                <w:szCs w:val="16"/>
              </w:rPr>
            </w:pPr>
          </w:p>
        </w:tc>
        <w:tc>
          <w:tcPr>
            <w:tcW w:w="239" w:type="dxa"/>
            <w:tcBorders>
              <w:top w:val="single" w:sz="4" w:space="0" w:color="00000A"/>
              <w:left w:val="none" w:sz="0" w:space="0" w:color="000000"/>
              <w:bottom w:val="single" w:sz="4" w:space="0" w:color="00000A"/>
            </w:tcBorders>
            <w:shd w:val="clear" w:color="auto" w:fill="auto"/>
          </w:tcPr>
          <w:p w14:paraId="1D683DB6" w14:textId="77777777" w:rsidR="00061155" w:rsidRDefault="00061155">
            <w:pPr>
              <w:snapToGrid w:val="0"/>
              <w:spacing w:line="240" w:lineRule="auto"/>
              <w:ind w:firstLine="0"/>
              <w:rPr>
                <w:rFonts w:cs="Calibri"/>
                <w:color w:val="000000"/>
                <w:sz w:val="16"/>
                <w:szCs w:val="16"/>
              </w:rPr>
            </w:pPr>
          </w:p>
        </w:tc>
        <w:tc>
          <w:tcPr>
            <w:tcW w:w="3537" w:type="dxa"/>
            <w:gridSpan w:val="6"/>
            <w:tcBorders>
              <w:top w:val="single" w:sz="4" w:space="0" w:color="00000A"/>
              <w:left w:val="none" w:sz="0" w:space="0" w:color="000000"/>
              <w:bottom w:val="single" w:sz="4" w:space="0" w:color="00000A"/>
            </w:tcBorders>
            <w:shd w:val="clear" w:color="auto" w:fill="auto"/>
            <w:vAlign w:val="center"/>
          </w:tcPr>
          <w:p w14:paraId="43142969" w14:textId="77777777" w:rsidR="00061155" w:rsidRDefault="00061155">
            <w:pPr>
              <w:spacing w:line="240" w:lineRule="auto"/>
              <w:ind w:firstLine="0"/>
              <w:jc w:val="center"/>
            </w:pPr>
            <w:r>
              <w:rPr>
                <w:rFonts w:cs="Calibri"/>
                <w:color w:val="000000"/>
                <w:sz w:val="16"/>
                <w:szCs w:val="16"/>
              </w:rPr>
              <w:t>Positive pole of conscientiousness</w:t>
            </w:r>
          </w:p>
        </w:tc>
        <w:tc>
          <w:tcPr>
            <w:tcW w:w="239" w:type="dxa"/>
            <w:tcBorders>
              <w:top w:val="single" w:sz="4" w:space="0" w:color="00000A"/>
              <w:left w:val="none" w:sz="0" w:space="0" w:color="000000"/>
              <w:bottom w:val="single" w:sz="4" w:space="0" w:color="00000A"/>
            </w:tcBorders>
            <w:shd w:val="clear" w:color="auto" w:fill="auto"/>
            <w:vAlign w:val="center"/>
          </w:tcPr>
          <w:p w14:paraId="7785871E" w14:textId="77777777" w:rsidR="00061155" w:rsidRDefault="00061155">
            <w:pPr>
              <w:snapToGrid w:val="0"/>
              <w:spacing w:line="240" w:lineRule="auto"/>
              <w:ind w:firstLine="0"/>
              <w:jc w:val="center"/>
              <w:rPr>
                <w:rFonts w:cs="Calibri"/>
                <w:color w:val="000000"/>
                <w:sz w:val="16"/>
                <w:szCs w:val="16"/>
              </w:rPr>
            </w:pPr>
          </w:p>
        </w:tc>
        <w:tc>
          <w:tcPr>
            <w:tcW w:w="3353" w:type="dxa"/>
            <w:gridSpan w:val="6"/>
            <w:tcBorders>
              <w:top w:val="single" w:sz="4" w:space="0" w:color="00000A"/>
              <w:left w:val="none" w:sz="0" w:space="0" w:color="000000"/>
              <w:bottom w:val="single" w:sz="4" w:space="0" w:color="00000A"/>
            </w:tcBorders>
            <w:shd w:val="clear" w:color="auto" w:fill="auto"/>
            <w:vAlign w:val="center"/>
          </w:tcPr>
          <w:p w14:paraId="589D9244" w14:textId="77777777" w:rsidR="00061155" w:rsidRDefault="00061155">
            <w:pPr>
              <w:spacing w:line="240" w:lineRule="auto"/>
              <w:ind w:firstLine="0"/>
            </w:pPr>
            <w:r>
              <w:rPr>
                <w:rFonts w:cs="Calibri"/>
                <w:color w:val="000000"/>
                <w:sz w:val="16"/>
                <w:szCs w:val="16"/>
              </w:rPr>
              <w:t>Negative pole of conscientiousness</w:t>
            </w:r>
          </w:p>
        </w:tc>
        <w:tc>
          <w:tcPr>
            <w:tcW w:w="239" w:type="dxa"/>
            <w:tcBorders>
              <w:top w:val="single" w:sz="4" w:space="0" w:color="00000A"/>
              <w:left w:val="none" w:sz="0" w:space="0" w:color="000000"/>
              <w:bottom w:val="single" w:sz="4" w:space="0" w:color="00000A"/>
            </w:tcBorders>
            <w:shd w:val="clear" w:color="auto" w:fill="auto"/>
          </w:tcPr>
          <w:p w14:paraId="30012B06" w14:textId="77777777" w:rsidR="00061155" w:rsidRDefault="00061155">
            <w:pPr>
              <w:snapToGrid w:val="0"/>
              <w:spacing w:line="240" w:lineRule="auto"/>
              <w:ind w:firstLine="0"/>
              <w:rPr>
                <w:rFonts w:cs="Calibri"/>
                <w:color w:val="000000"/>
                <w:sz w:val="16"/>
                <w:szCs w:val="16"/>
              </w:rPr>
            </w:pPr>
          </w:p>
        </w:tc>
        <w:tc>
          <w:tcPr>
            <w:tcW w:w="449" w:type="dxa"/>
            <w:tcBorders>
              <w:top w:val="single" w:sz="4" w:space="0" w:color="00000A"/>
              <w:left w:val="none" w:sz="0" w:space="0" w:color="000000"/>
              <w:bottom w:val="single" w:sz="4" w:space="0" w:color="00000A"/>
              <w:right w:val="none" w:sz="0" w:space="0" w:color="000000"/>
            </w:tcBorders>
            <w:shd w:val="clear" w:color="auto" w:fill="auto"/>
            <w:vAlign w:val="center"/>
          </w:tcPr>
          <w:p w14:paraId="37DC435F" w14:textId="77777777" w:rsidR="00061155" w:rsidRDefault="00061155">
            <w:pPr>
              <w:snapToGrid w:val="0"/>
              <w:spacing w:line="240" w:lineRule="auto"/>
              <w:ind w:firstLine="0"/>
              <w:rPr>
                <w:rFonts w:cs="Calibri"/>
                <w:color w:val="000000"/>
                <w:sz w:val="16"/>
                <w:szCs w:val="16"/>
              </w:rPr>
            </w:pPr>
          </w:p>
        </w:tc>
      </w:tr>
      <w:tr w:rsidR="00061155" w14:paraId="7901874D" w14:textId="77777777">
        <w:trPr>
          <w:trHeight w:val="244"/>
        </w:trPr>
        <w:tc>
          <w:tcPr>
            <w:tcW w:w="6231" w:type="dxa"/>
            <w:tcBorders>
              <w:top w:val="single" w:sz="4" w:space="0" w:color="000080"/>
              <w:bottom w:val="single" w:sz="4" w:space="0" w:color="000080"/>
            </w:tcBorders>
            <w:shd w:val="clear" w:color="auto" w:fill="auto"/>
            <w:vAlign w:val="center"/>
          </w:tcPr>
          <w:p w14:paraId="6E3E3724" w14:textId="77777777" w:rsidR="00061155" w:rsidRDefault="00061155">
            <w:pPr>
              <w:spacing w:line="240" w:lineRule="auto"/>
              <w:ind w:firstLine="0"/>
              <w:jc w:val="center"/>
            </w:pPr>
            <w:r>
              <w:rPr>
                <w:rFonts w:cs="Calibri"/>
                <w:color w:val="000000"/>
                <w:sz w:val="16"/>
                <w:szCs w:val="16"/>
              </w:rPr>
              <w:t>Goal Class</w:t>
            </w:r>
          </w:p>
        </w:tc>
        <w:tc>
          <w:tcPr>
            <w:tcW w:w="239" w:type="dxa"/>
            <w:tcBorders>
              <w:top w:val="single" w:sz="4" w:space="0" w:color="000080"/>
              <w:bottom w:val="single" w:sz="4" w:space="0" w:color="000080"/>
            </w:tcBorders>
            <w:shd w:val="clear" w:color="auto" w:fill="auto"/>
          </w:tcPr>
          <w:p w14:paraId="63D663E0" w14:textId="77777777" w:rsidR="00061155" w:rsidRDefault="00061155">
            <w:pPr>
              <w:snapToGrid w:val="0"/>
              <w:spacing w:line="240" w:lineRule="auto"/>
              <w:ind w:firstLine="0"/>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32C275B2" w14:textId="77777777" w:rsidR="00061155" w:rsidRDefault="00061155">
            <w:pPr>
              <w:spacing w:line="240" w:lineRule="auto"/>
              <w:ind w:firstLine="0"/>
            </w:pPr>
            <w:r>
              <w:rPr>
                <w:rFonts w:cs="Calibri"/>
                <w:color w:val="000000"/>
                <w:sz w:val="16"/>
                <w:szCs w:val="16"/>
              </w:rPr>
              <w:t>IND5+</w:t>
            </w:r>
          </w:p>
        </w:tc>
        <w:tc>
          <w:tcPr>
            <w:tcW w:w="640" w:type="dxa"/>
            <w:tcBorders>
              <w:top w:val="single" w:sz="4" w:space="0" w:color="000080"/>
              <w:bottom w:val="single" w:sz="4" w:space="0" w:color="000080"/>
            </w:tcBorders>
            <w:shd w:val="clear" w:color="auto" w:fill="auto"/>
            <w:vAlign w:val="center"/>
          </w:tcPr>
          <w:p w14:paraId="692A0807" w14:textId="77777777" w:rsidR="00061155" w:rsidRDefault="00061155">
            <w:pPr>
              <w:spacing w:line="240" w:lineRule="auto"/>
              <w:ind w:firstLine="0"/>
            </w:pPr>
            <w:r>
              <w:rPr>
                <w:rFonts w:cs="Calibri"/>
                <w:color w:val="000000"/>
                <w:sz w:val="16"/>
                <w:szCs w:val="16"/>
              </w:rPr>
              <w:t>IMC5+</w:t>
            </w:r>
          </w:p>
        </w:tc>
        <w:tc>
          <w:tcPr>
            <w:tcW w:w="669" w:type="dxa"/>
            <w:tcBorders>
              <w:top w:val="single" w:sz="4" w:space="0" w:color="000080"/>
              <w:bottom w:val="single" w:sz="4" w:space="0" w:color="000080"/>
            </w:tcBorders>
            <w:shd w:val="clear" w:color="auto" w:fill="auto"/>
            <w:vAlign w:val="center"/>
          </w:tcPr>
          <w:p w14:paraId="0C82D0A2" w14:textId="77777777" w:rsidR="00061155" w:rsidRDefault="00061155">
            <w:pPr>
              <w:spacing w:line="240" w:lineRule="auto"/>
              <w:ind w:firstLine="0"/>
            </w:pPr>
            <w:r>
              <w:rPr>
                <w:rFonts w:cs="Calibri"/>
                <w:color w:val="000000"/>
                <w:sz w:val="16"/>
                <w:szCs w:val="16"/>
              </w:rPr>
              <w:t>ORD5+</w:t>
            </w:r>
          </w:p>
        </w:tc>
        <w:tc>
          <w:tcPr>
            <w:tcW w:w="616" w:type="dxa"/>
            <w:tcBorders>
              <w:top w:val="single" w:sz="4" w:space="0" w:color="000080"/>
              <w:bottom w:val="single" w:sz="4" w:space="0" w:color="000080"/>
            </w:tcBorders>
            <w:shd w:val="clear" w:color="auto" w:fill="auto"/>
            <w:vAlign w:val="center"/>
          </w:tcPr>
          <w:p w14:paraId="118A9366" w14:textId="77777777" w:rsidR="00061155" w:rsidRDefault="00061155">
            <w:pPr>
              <w:spacing w:line="240" w:lineRule="auto"/>
              <w:ind w:firstLine="0"/>
            </w:pPr>
            <w:r>
              <w:rPr>
                <w:rFonts w:cs="Calibri"/>
                <w:color w:val="000000"/>
                <w:sz w:val="16"/>
                <w:szCs w:val="16"/>
              </w:rPr>
              <w:t>RES5+</w:t>
            </w:r>
          </w:p>
        </w:tc>
        <w:tc>
          <w:tcPr>
            <w:tcW w:w="463" w:type="dxa"/>
            <w:tcBorders>
              <w:top w:val="single" w:sz="4" w:space="0" w:color="000080"/>
              <w:bottom w:val="single" w:sz="4" w:space="0" w:color="000080"/>
            </w:tcBorders>
            <w:shd w:val="clear" w:color="auto" w:fill="auto"/>
            <w:vAlign w:val="center"/>
          </w:tcPr>
          <w:p w14:paraId="0C455A8B" w14:textId="77777777" w:rsidR="00061155" w:rsidRDefault="00061155">
            <w:pPr>
              <w:spacing w:line="240" w:lineRule="auto"/>
              <w:ind w:firstLine="0"/>
            </w:pPr>
            <w:r>
              <w:rPr>
                <w:rFonts w:cs="Calibri"/>
                <w:color w:val="000000"/>
                <w:sz w:val="16"/>
                <w:szCs w:val="16"/>
              </w:rPr>
              <w:t>C2+</w:t>
            </w:r>
          </w:p>
        </w:tc>
        <w:tc>
          <w:tcPr>
            <w:tcW w:w="546" w:type="dxa"/>
            <w:tcBorders>
              <w:top w:val="single" w:sz="4" w:space="0" w:color="000080"/>
              <w:bottom w:val="single" w:sz="4" w:space="0" w:color="000080"/>
            </w:tcBorders>
            <w:shd w:val="clear" w:color="auto" w:fill="auto"/>
            <w:vAlign w:val="center"/>
          </w:tcPr>
          <w:p w14:paraId="5BAF3999" w14:textId="77777777" w:rsidR="00061155" w:rsidRDefault="00061155">
            <w:pPr>
              <w:spacing w:line="240" w:lineRule="auto"/>
              <w:ind w:firstLine="0"/>
            </w:pPr>
            <w:r>
              <w:rPr>
                <w:rFonts w:cs="Calibri"/>
                <w:color w:val="000000"/>
                <w:sz w:val="16"/>
                <w:szCs w:val="16"/>
              </w:rPr>
              <w:t>C22+</w:t>
            </w:r>
          </w:p>
        </w:tc>
        <w:tc>
          <w:tcPr>
            <w:tcW w:w="239" w:type="dxa"/>
            <w:tcBorders>
              <w:top w:val="single" w:sz="4" w:space="0" w:color="000080"/>
              <w:bottom w:val="single" w:sz="4" w:space="0" w:color="000080"/>
            </w:tcBorders>
            <w:shd w:val="clear" w:color="auto" w:fill="auto"/>
          </w:tcPr>
          <w:p w14:paraId="6C4177C6" w14:textId="77777777" w:rsidR="00061155" w:rsidRDefault="00061155">
            <w:pPr>
              <w:snapToGrid w:val="0"/>
              <w:spacing w:line="240" w:lineRule="auto"/>
              <w:ind w:firstLine="0"/>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269CD4ED" w14:textId="77777777" w:rsidR="00061155" w:rsidRDefault="00061155">
            <w:pPr>
              <w:spacing w:line="240" w:lineRule="auto"/>
              <w:ind w:firstLine="0"/>
            </w:pPr>
            <w:r>
              <w:rPr>
                <w:rFonts w:cs="Calibri"/>
                <w:color w:val="000000"/>
                <w:sz w:val="16"/>
                <w:szCs w:val="16"/>
              </w:rPr>
              <w:t>IND5-</w:t>
            </w:r>
          </w:p>
        </w:tc>
        <w:tc>
          <w:tcPr>
            <w:tcW w:w="609" w:type="dxa"/>
            <w:tcBorders>
              <w:top w:val="single" w:sz="4" w:space="0" w:color="000080"/>
              <w:bottom w:val="single" w:sz="4" w:space="0" w:color="000080"/>
            </w:tcBorders>
            <w:shd w:val="clear" w:color="auto" w:fill="auto"/>
            <w:vAlign w:val="center"/>
          </w:tcPr>
          <w:p w14:paraId="69A15473" w14:textId="77777777" w:rsidR="00061155" w:rsidRDefault="00061155">
            <w:pPr>
              <w:spacing w:line="240" w:lineRule="auto"/>
              <w:ind w:firstLine="0"/>
            </w:pPr>
            <w:r>
              <w:rPr>
                <w:rFonts w:cs="Calibri"/>
                <w:color w:val="000000"/>
                <w:sz w:val="16"/>
                <w:szCs w:val="16"/>
              </w:rPr>
              <w:t>IMC5-</w:t>
            </w:r>
          </w:p>
        </w:tc>
        <w:tc>
          <w:tcPr>
            <w:tcW w:w="638" w:type="dxa"/>
            <w:tcBorders>
              <w:top w:val="single" w:sz="4" w:space="0" w:color="000080"/>
              <w:bottom w:val="single" w:sz="4" w:space="0" w:color="000080"/>
            </w:tcBorders>
            <w:shd w:val="clear" w:color="auto" w:fill="auto"/>
            <w:vAlign w:val="center"/>
          </w:tcPr>
          <w:p w14:paraId="6D319D23" w14:textId="77777777" w:rsidR="00061155" w:rsidRDefault="00061155">
            <w:pPr>
              <w:spacing w:line="240" w:lineRule="auto"/>
              <w:ind w:firstLine="0"/>
            </w:pPr>
            <w:r>
              <w:rPr>
                <w:rFonts w:cs="Calibri"/>
                <w:color w:val="000000"/>
                <w:sz w:val="16"/>
                <w:szCs w:val="16"/>
              </w:rPr>
              <w:t>ORD5-</w:t>
            </w:r>
          </w:p>
        </w:tc>
        <w:tc>
          <w:tcPr>
            <w:tcW w:w="586" w:type="dxa"/>
            <w:tcBorders>
              <w:top w:val="single" w:sz="4" w:space="0" w:color="000080"/>
              <w:bottom w:val="single" w:sz="4" w:space="0" w:color="000080"/>
            </w:tcBorders>
            <w:shd w:val="clear" w:color="auto" w:fill="auto"/>
            <w:vAlign w:val="center"/>
          </w:tcPr>
          <w:p w14:paraId="23662DFE" w14:textId="77777777" w:rsidR="00061155" w:rsidRDefault="00061155">
            <w:pPr>
              <w:spacing w:line="240" w:lineRule="auto"/>
              <w:ind w:firstLine="0"/>
            </w:pPr>
            <w:r>
              <w:rPr>
                <w:rFonts w:cs="Calibri"/>
                <w:color w:val="000000"/>
                <w:sz w:val="16"/>
                <w:szCs w:val="16"/>
              </w:rPr>
              <w:t>RES5-</w:t>
            </w:r>
          </w:p>
        </w:tc>
        <w:tc>
          <w:tcPr>
            <w:tcW w:w="432" w:type="dxa"/>
            <w:tcBorders>
              <w:top w:val="single" w:sz="4" w:space="0" w:color="000080"/>
              <w:bottom w:val="single" w:sz="4" w:space="0" w:color="000080"/>
            </w:tcBorders>
            <w:shd w:val="clear" w:color="auto" w:fill="auto"/>
            <w:vAlign w:val="center"/>
          </w:tcPr>
          <w:p w14:paraId="21FF40DE" w14:textId="77777777" w:rsidR="00061155" w:rsidRDefault="00061155">
            <w:pPr>
              <w:spacing w:line="240" w:lineRule="auto"/>
              <w:ind w:firstLine="0"/>
            </w:pPr>
            <w:r>
              <w:rPr>
                <w:rFonts w:cs="Calibri"/>
                <w:color w:val="000000"/>
                <w:sz w:val="16"/>
                <w:szCs w:val="16"/>
              </w:rPr>
              <w:t>C2-</w:t>
            </w:r>
          </w:p>
        </w:tc>
        <w:tc>
          <w:tcPr>
            <w:tcW w:w="515" w:type="dxa"/>
            <w:tcBorders>
              <w:top w:val="single" w:sz="4" w:space="0" w:color="000080"/>
              <w:bottom w:val="single" w:sz="4" w:space="0" w:color="000080"/>
            </w:tcBorders>
            <w:shd w:val="clear" w:color="auto" w:fill="auto"/>
            <w:vAlign w:val="center"/>
          </w:tcPr>
          <w:p w14:paraId="58684516" w14:textId="77777777" w:rsidR="00061155" w:rsidRDefault="00061155">
            <w:pPr>
              <w:spacing w:line="240" w:lineRule="auto"/>
              <w:ind w:firstLine="0"/>
            </w:pPr>
            <w:r>
              <w:rPr>
                <w:rFonts w:cs="Calibri"/>
                <w:color w:val="000000"/>
                <w:sz w:val="16"/>
                <w:szCs w:val="16"/>
              </w:rPr>
              <w:t>C22-</w:t>
            </w:r>
          </w:p>
        </w:tc>
        <w:tc>
          <w:tcPr>
            <w:tcW w:w="239" w:type="dxa"/>
            <w:tcBorders>
              <w:top w:val="single" w:sz="4" w:space="0" w:color="000080"/>
              <w:bottom w:val="single" w:sz="4" w:space="0" w:color="000080"/>
            </w:tcBorders>
            <w:shd w:val="clear" w:color="auto" w:fill="auto"/>
          </w:tcPr>
          <w:p w14:paraId="332F3EED" w14:textId="77777777" w:rsidR="00061155" w:rsidRDefault="00061155">
            <w:pPr>
              <w:snapToGrid w:val="0"/>
              <w:spacing w:line="240" w:lineRule="auto"/>
              <w:ind w:firstLine="0"/>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368DCD16" w14:textId="77777777" w:rsidR="00061155" w:rsidRDefault="00061155">
            <w:pPr>
              <w:spacing w:line="240" w:lineRule="auto"/>
              <w:ind w:firstLine="0"/>
            </w:pPr>
            <w:r>
              <w:rPr>
                <w:rFonts w:cs="Calibri"/>
                <w:color w:val="000000"/>
                <w:sz w:val="16"/>
                <w:szCs w:val="16"/>
              </w:rPr>
              <w:t>C44</w:t>
            </w:r>
          </w:p>
        </w:tc>
      </w:tr>
      <w:tr w:rsidR="00061155" w14:paraId="68557421" w14:textId="77777777">
        <w:trPr>
          <w:trHeight w:val="244"/>
        </w:trPr>
        <w:tc>
          <w:tcPr>
            <w:tcW w:w="6231" w:type="dxa"/>
            <w:tcBorders>
              <w:top w:val="single" w:sz="4" w:space="0" w:color="000080"/>
              <w:bottom w:val="single" w:sz="4" w:space="0" w:color="000080"/>
            </w:tcBorders>
            <w:shd w:val="clear" w:color="auto" w:fill="auto"/>
            <w:vAlign w:val="center"/>
          </w:tcPr>
          <w:p w14:paraId="4AB08BA9" w14:textId="77777777" w:rsidR="00061155" w:rsidRDefault="00061155">
            <w:pPr>
              <w:pStyle w:val="Paragrafoelenco"/>
              <w:numPr>
                <w:ilvl w:val="0"/>
                <w:numId w:val="4"/>
              </w:numPr>
              <w:spacing w:line="240" w:lineRule="auto"/>
            </w:pPr>
            <w:r>
              <w:rPr>
                <w:rFonts w:cs="Calibri"/>
                <w:color w:val="000000"/>
                <w:sz w:val="16"/>
                <w:szCs w:val="16"/>
              </w:rPr>
              <w:t>Demonstrate something to others (e.g., make a good impression, prove to be capable, do not disappoint expectations)</w:t>
            </w:r>
          </w:p>
        </w:tc>
        <w:tc>
          <w:tcPr>
            <w:tcW w:w="239" w:type="dxa"/>
            <w:tcBorders>
              <w:top w:val="single" w:sz="4" w:space="0" w:color="000080"/>
              <w:bottom w:val="single" w:sz="4" w:space="0" w:color="000080"/>
            </w:tcBorders>
            <w:shd w:val="clear" w:color="auto" w:fill="auto"/>
          </w:tcPr>
          <w:p w14:paraId="71EAA171"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51405E17" w14:textId="77777777" w:rsidR="00061155" w:rsidRDefault="00061155">
            <w:pPr>
              <w:spacing w:line="240" w:lineRule="auto"/>
              <w:ind w:firstLine="0"/>
              <w:jc w:val="center"/>
            </w:pPr>
            <w:r>
              <w:rPr>
                <w:rFonts w:cs="Calibri"/>
                <w:color w:val="000000"/>
                <w:sz w:val="16"/>
                <w:szCs w:val="16"/>
              </w:rPr>
              <w:t>29</w:t>
            </w:r>
          </w:p>
        </w:tc>
        <w:tc>
          <w:tcPr>
            <w:tcW w:w="640" w:type="dxa"/>
            <w:tcBorders>
              <w:top w:val="single" w:sz="4" w:space="0" w:color="000080"/>
              <w:bottom w:val="single" w:sz="4" w:space="0" w:color="000080"/>
            </w:tcBorders>
            <w:shd w:val="clear" w:color="auto" w:fill="auto"/>
            <w:vAlign w:val="center"/>
          </w:tcPr>
          <w:p w14:paraId="2D6683E1" w14:textId="77777777" w:rsidR="00061155" w:rsidRDefault="00061155">
            <w:pPr>
              <w:spacing w:line="240" w:lineRule="auto"/>
              <w:ind w:firstLine="0"/>
              <w:jc w:val="center"/>
            </w:pPr>
            <w:r>
              <w:rPr>
                <w:rFonts w:cs="Calibri"/>
                <w:color w:val="000000"/>
                <w:sz w:val="16"/>
                <w:szCs w:val="16"/>
              </w:rPr>
              <w:t>7</w:t>
            </w:r>
          </w:p>
        </w:tc>
        <w:tc>
          <w:tcPr>
            <w:tcW w:w="669" w:type="dxa"/>
            <w:tcBorders>
              <w:top w:val="single" w:sz="4" w:space="0" w:color="000080"/>
              <w:bottom w:val="single" w:sz="4" w:space="0" w:color="000080"/>
            </w:tcBorders>
            <w:shd w:val="clear" w:color="auto" w:fill="auto"/>
            <w:vAlign w:val="center"/>
          </w:tcPr>
          <w:p w14:paraId="50DE1B50" w14:textId="77777777" w:rsidR="00061155" w:rsidRDefault="00061155">
            <w:pPr>
              <w:spacing w:line="240" w:lineRule="auto"/>
              <w:ind w:firstLine="0"/>
              <w:jc w:val="center"/>
            </w:pPr>
            <w:r>
              <w:rPr>
                <w:rFonts w:cs="Calibri"/>
                <w:color w:val="000000"/>
                <w:sz w:val="16"/>
                <w:szCs w:val="16"/>
              </w:rPr>
              <w:t>5</w:t>
            </w:r>
          </w:p>
        </w:tc>
        <w:tc>
          <w:tcPr>
            <w:tcW w:w="616" w:type="dxa"/>
            <w:tcBorders>
              <w:top w:val="single" w:sz="4" w:space="0" w:color="000080"/>
              <w:bottom w:val="single" w:sz="4" w:space="0" w:color="000080"/>
            </w:tcBorders>
            <w:shd w:val="clear" w:color="auto" w:fill="auto"/>
            <w:vAlign w:val="center"/>
          </w:tcPr>
          <w:p w14:paraId="73CABE53" w14:textId="77777777" w:rsidR="00061155" w:rsidRDefault="00061155">
            <w:pPr>
              <w:spacing w:line="240" w:lineRule="auto"/>
              <w:ind w:firstLine="0"/>
              <w:jc w:val="center"/>
            </w:pPr>
            <w:r>
              <w:rPr>
                <w:rFonts w:cs="Calibri"/>
                <w:color w:val="000000"/>
                <w:sz w:val="16"/>
                <w:szCs w:val="16"/>
              </w:rPr>
              <w:t>34</w:t>
            </w:r>
          </w:p>
        </w:tc>
        <w:tc>
          <w:tcPr>
            <w:tcW w:w="463" w:type="dxa"/>
            <w:tcBorders>
              <w:top w:val="single" w:sz="4" w:space="0" w:color="000080"/>
              <w:bottom w:val="single" w:sz="4" w:space="0" w:color="000080"/>
            </w:tcBorders>
            <w:shd w:val="clear" w:color="auto" w:fill="auto"/>
            <w:vAlign w:val="center"/>
          </w:tcPr>
          <w:p w14:paraId="43F4766E" w14:textId="77777777" w:rsidR="00061155" w:rsidRDefault="00061155">
            <w:pPr>
              <w:spacing w:line="240" w:lineRule="auto"/>
              <w:ind w:firstLine="0"/>
              <w:jc w:val="center"/>
            </w:pPr>
            <w:r>
              <w:rPr>
                <w:rFonts w:cs="Calibri"/>
                <w:color w:val="000000"/>
                <w:sz w:val="16"/>
                <w:szCs w:val="16"/>
              </w:rPr>
              <w:t>8</w:t>
            </w:r>
          </w:p>
        </w:tc>
        <w:tc>
          <w:tcPr>
            <w:tcW w:w="546" w:type="dxa"/>
            <w:tcBorders>
              <w:top w:val="single" w:sz="4" w:space="0" w:color="000080"/>
              <w:bottom w:val="single" w:sz="4" w:space="0" w:color="000080"/>
            </w:tcBorders>
            <w:shd w:val="clear" w:color="auto" w:fill="auto"/>
            <w:vAlign w:val="center"/>
          </w:tcPr>
          <w:p w14:paraId="1470329B" w14:textId="77777777" w:rsidR="00061155" w:rsidRDefault="00061155">
            <w:pPr>
              <w:spacing w:line="240" w:lineRule="auto"/>
              <w:ind w:firstLine="0"/>
              <w:jc w:val="center"/>
            </w:pPr>
            <w:r>
              <w:rPr>
                <w:rFonts w:cs="Calibri"/>
                <w:color w:val="000000"/>
                <w:sz w:val="16"/>
                <w:szCs w:val="16"/>
              </w:rPr>
              <w:t>83</w:t>
            </w:r>
          </w:p>
        </w:tc>
        <w:tc>
          <w:tcPr>
            <w:tcW w:w="239" w:type="dxa"/>
            <w:tcBorders>
              <w:top w:val="single" w:sz="4" w:space="0" w:color="000080"/>
              <w:bottom w:val="single" w:sz="4" w:space="0" w:color="000080"/>
            </w:tcBorders>
            <w:shd w:val="clear" w:color="auto" w:fill="auto"/>
            <w:vAlign w:val="center"/>
          </w:tcPr>
          <w:p w14:paraId="2F521337"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7AB7F394" w14:textId="77777777" w:rsidR="00061155" w:rsidRDefault="00061155">
            <w:pPr>
              <w:spacing w:line="240" w:lineRule="auto"/>
              <w:ind w:firstLine="0"/>
              <w:jc w:val="center"/>
            </w:pPr>
            <w:r>
              <w:rPr>
                <w:rFonts w:cs="Calibri"/>
                <w:color w:val="000000"/>
                <w:sz w:val="16"/>
                <w:szCs w:val="16"/>
              </w:rPr>
              <w:t>3</w:t>
            </w:r>
          </w:p>
        </w:tc>
        <w:tc>
          <w:tcPr>
            <w:tcW w:w="609" w:type="dxa"/>
            <w:tcBorders>
              <w:top w:val="single" w:sz="4" w:space="0" w:color="000080"/>
              <w:bottom w:val="single" w:sz="4" w:space="0" w:color="000080"/>
            </w:tcBorders>
            <w:shd w:val="clear" w:color="auto" w:fill="auto"/>
            <w:vAlign w:val="center"/>
          </w:tcPr>
          <w:p w14:paraId="7E08635B" w14:textId="77777777" w:rsidR="00061155" w:rsidRDefault="00061155">
            <w:pPr>
              <w:spacing w:line="240" w:lineRule="auto"/>
              <w:ind w:firstLine="0"/>
              <w:jc w:val="center"/>
            </w:pPr>
            <w:r>
              <w:rPr>
                <w:rFonts w:cs="Calibri"/>
                <w:color w:val="000000"/>
                <w:sz w:val="16"/>
                <w:szCs w:val="16"/>
              </w:rPr>
              <w:t>11</w:t>
            </w:r>
          </w:p>
        </w:tc>
        <w:tc>
          <w:tcPr>
            <w:tcW w:w="638" w:type="dxa"/>
            <w:tcBorders>
              <w:top w:val="single" w:sz="4" w:space="0" w:color="000080"/>
              <w:bottom w:val="single" w:sz="4" w:space="0" w:color="000080"/>
            </w:tcBorders>
            <w:shd w:val="clear" w:color="auto" w:fill="auto"/>
            <w:vAlign w:val="center"/>
          </w:tcPr>
          <w:p w14:paraId="22D89E29" w14:textId="77777777" w:rsidR="00061155" w:rsidRDefault="00061155">
            <w:pPr>
              <w:spacing w:line="240" w:lineRule="auto"/>
              <w:ind w:firstLine="0"/>
              <w:jc w:val="center"/>
            </w:pPr>
            <w:r>
              <w:rPr>
                <w:rFonts w:cs="Calibri"/>
                <w:color w:val="000000"/>
                <w:sz w:val="16"/>
                <w:szCs w:val="16"/>
              </w:rPr>
              <w:t>1</w:t>
            </w:r>
          </w:p>
        </w:tc>
        <w:tc>
          <w:tcPr>
            <w:tcW w:w="586" w:type="dxa"/>
            <w:tcBorders>
              <w:top w:val="single" w:sz="4" w:space="0" w:color="000080"/>
              <w:bottom w:val="single" w:sz="4" w:space="0" w:color="000080"/>
            </w:tcBorders>
            <w:shd w:val="clear" w:color="auto" w:fill="auto"/>
            <w:vAlign w:val="center"/>
          </w:tcPr>
          <w:p w14:paraId="6B38475C" w14:textId="77777777" w:rsidR="00061155" w:rsidRDefault="00061155">
            <w:pPr>
              <w:spacing w:line="240" w:lineRule="auto"/>
              <w:ind w:firstLine="0"/>
              <w:jc w:val="center"/>
            </w:pPr>
            <w:r>
              <w:rPr>
                <w:rFonts w:cs="Calibri"/>
                <w:color w:val="000000"/>
                <w:sz w:val="16"/>
                <w:szCs w:val="16"/>
              </w:rPr>
              <w:t>10</w:t>
            </w:r>
          </w:p>
        </w:tc>
        <w:tc>
          <w:tcPr>
            <w:tcW w:w="432" w:type="dxa"/>
            <w:tcBorders>
              <w:top w:val="single" w:sz="4" w:space="0" w:color="000080"/>
              <w:bottom w:val="single" w:sz="4" w:space="0" w:color="000080"/>
            </w:tcBorders>
            <w:shd w:val="clear" w:color="auto" w:fill="auto"/>
            <w:vAlign w:val="center"/>
          </w:tcPr>
          <w:p w14:paraId="691684AA" w14:textId="77777777" w:rsidR="00061155" w:rsidRDefault="00061155">
            <w:pPr>
              <w:spacing w:line="240" w:lineRule="auto"/>
              <w:ind w:firstLine="0"/>
              <w:jc w:val="center"/>
            </w:pPr>
            <w:r>
              <w:rPr>
                <w:rFonts w:cs="Calibri"/>
                <w:color w:val="000000"/>
                <w:sz w:val="16"/>
                <w:szCs w:val="16"/>
              </w:rPr>
              <w:t>3</w:t>
            </w:r>
          </w:p>
        </w:tc>
        <w:tc>
          <w:tcPr>
            <w:tcW w:w="515" w:type="dxa"/>
            <w:tcBorders>
              <w:top w:val="single" w:sz="4" w:space="0" w:color="000080"/>
              <w:bottom w:val="single" w:sz="4" w:space="0" w:color="000080"/>
            </w:tcBorders>
            <w:shd w:val="clear" w:color="auto" w:fill="auto"/>
            <w:vAlign w:val="center"/>
          </w:tcPr>
          <w:p w14:paraId="1FEC4B7F" w14:textId="77777777" w:rsidR="00061155" w:rsidRDefault="00061155">
            <w:pPr>
              <w:spacing w:line="240" w:lineRule="auto"/>
              <w:ind w:firstLine="0"/>
              <w:jc w:val="center"/>
            </w:pPr>
            <w:r>
              <w:rPr>
                <w:rFonts w:cs="Calibri"/>
                <w:color w:val="000000"/>
                <w:sz w:val="16"/>
                <w:szCs w:val="16"/>
              </w:rPr>
              <w:t>28</w:t>
            </w:r>
          </w:p>
        </w:tc>
        <w:tc>
          <w:tcPr>
            <w:tcW w:w="239" w:type="dxa"/>
            <w:tcBorders>
              <w:top w:val="single" w:sz="4" w:space="0" w:color="000080"/>
              <w:bottom w:val="single" w:sz="4" w:space="0" w:color="000080"/>
            </w:tcBorders>
            <w:shd w:val="clear" w:color="auto" w:fill="auto"/>
            <w:vAlign w:val="center"/>
          </w:tcPr>
          <w:p w14:paraId="47190387"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25A93B52" w14:textId="77777777" w:rsidR="00061155" w:rsidRDefault="00061155">
            <w:pPr>
              <w:spacing w:line="240" w:lineRule="auto"/>
              <w:ind w:firstLine="0"/>
              <w:jc w:val="center"/>
            </w:pPr>
            <w:r>
              <w:rPr>
                <w:rFonts w:cs="Calibri"/>
                <w:color w:val="000000"/>
                <w:sz w:val="16"/>
                <w:szCs w:val="16"/>
              </w:rPr>
              <w:t>111</w:t>
            </w:r>
          </w:p>
        </w:tc>
      </w:tr>
      <w:tr w:rsidR="00061155" w14:paraId="2FEFCA4D" w14:textId="77777777">
        <w:trPr>
          <w:trHeight w:val="244"/>
        </w:trPr>
        <w:tc>
          <w:tcPr>
            <w:tcW w:w="6231" w:type="dxa"/>
            <w:tcBorders>
              <w:top w:val="single" w:sz="4" w:space="0" w:color="000080"/>
              <w:bottom w:val="single" w:sz="4" w:space="0" w:color="000080"/>
            </w:tcBorders>
            <w:shd w:val="clear" w:color="auto" w:fill="auto"/>
            <w:vAlign w:val="center"/>
          </w:tcPr>
          <w:p w14:paraId="315510CC" w14:textId="77777777" w:rsidR="00061155" w:rsidRDefault="00061155">
            <w:pPr>
              <w:pStyle w:val="Paragrafoelenco"/>
              <w:numPr>
                <w:ilvl w:val="0"/>
                <w:numId w:val="4"/>
              </w:numPr>
              <w:spacing w:line="240" w:lineRule="auto"/>
            </w:pPr>
            <w:r>
              <w:rPr>
                <w:rFonts w:cs="Calibri"/>
                <w:color w:val="000000"/>
                <w:sz w:val="16"/>
                <w:szCs w:val="16"/>
              </w:rPr>
              <w:t>Be trustworthy (e.g., be credible, a person to rely on)</w:t>
            </w:r>
          </w:p>
        </w:tc>
        <w:tc>
          <w:tcPr>
            <w:tcW w:w="239" w:type="dxa"/>
            <w:tcBorders>
              <w:top w:val="single" w:sz="4" w:space="0" w:color="000080"/>
              <w:bottom w:val="single" w:sz="4" w:space="0" w:color="000080"/>
            </w:tcBorders>
            <w:shd w:val="clear" w:color="auto" w:fill="auto"/>
          </w:tcPr>
          <w:p w14:paraId="277230C9"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62C65E38" w14:textId="77777777" w:rsidR="00061155" w:rsidRDefault="00061155">
            <w:pPr>
              <w:spacing w:line="240" w:lineRule="auto"/>
              <w:ind w:firstLine="0"/>
              <w:jc w:val="center"/>
            </w:pPr>
            <w:r>
              <w:rPr>
                <w:rFonts w:cs="Calibri"/>
                <w:color w:val="000000"/>
                <w:sz w:val="16"/>
                <w:szCs w:val="16"/>
              </w:rPr>
              <w:t>6</w:t>
            </w:r>
          </w:p>
        </w:tc>
        <w:tc>
          <w:tcPr>
            <w:tcW w:w="640" w:type="dxa"/>
            <w:tcBorders>
              <w:top w:val="single" w:sz="4" w:space="0" w:color="000080"/>
              <w:bottom w:val="single" w:sz="4" w:space="0" w:color="000080"/>
            </w:tcBorders>
            <w:shd w:val="clear" w:color="auto" w:fill="auto"/>
            <w:vAlign w:val="center"/>
          </w:tcPr>
          <w:p w14:paraId="6F1963F5" w14:textId="77777777" w:rsidR="00061155" w:rsidRDefault="00061155">
            <w:pPr>
              <w:spacing w:line="240" w:lineRule="auto"/>
              <w:ind w:firstLine="0"/>
              <w:jc w:val="center"/>
            </w:pPr>
            <w:r>
              <w:rPr>
                <w:rFonts w:cs="Calibri"/>
                <w:color w:val="000000"/>
                <w:sz w:val="16"/>
                <w:szCs w:val="16"/>
              </w:rPr>
              <w:t>8</w:t>
            </w:r>
          </w:p>
        </w:tc>
        <w:tc>
          <w:tcPr>
            <w:tcW w:w="669" w:type="dxa"/>
            <w:tcBorders>
              <w:top w:val="single" w:sz="4" w:space="0" w:color="000080"/>
              <w:bottom w:val="single" w:sz="4" w:space="0" w:color="000080"/>
            </w:tcBorders>
            <w:shd w:val="clear" w:color="auto" w:fill="auto"/>
            <w:vAlign w:val="center"/>
          </w:tcPr>
          <w:p w14:paraId="3C1C9122" w14:textId="77777777" w:rsidR="00061155" w:rsidRDefault="00061155">
            <w:pPr>
              <w:spacing w:line="240" w:lineRule="auto"/>
              <w:ind w:firstLine="0"/>
              <w:jc w:val="center"/>
            </w:pPr>
            <w:r>
              <w:rPr>
                <w:rFonts w:cs="Calibri"/>
                <w:color w:val="000000"/>
                <w:sz w:val="16"/>
                <w:szCs w:val="16"/>
              </w:rPr>
              <w:t>2</w:t>
            </w:r>
          </w:p>
        </w:tc>
        <w:tc>
          <w:tcPr>
            <w:tcW w:w="616" w:type="dxa"/>
            <w:tcBorders>
              <w:top w:val="single" w:sz="4" w:space="0" w:color="000080"/>
              <w:bottom w:val="single" w:sz="4" w:space="0" w:color="000080"/>
            </w:tcBorders>
            <w:shd w:val="clear" w:color="auto" w:fill="auto"/>
            <w:vAlign w:val="center"/>
          </w:tcPr>
          <w:p w14:paraId="2EF8AB2E" w14:textId="77777777" w:rsidR="00061155" w:rsidRDefault="00061155">
            <w:pPr>
              <w:spacing w:line="240" w:lineRule="auto"/>
              <w:ind w:firstLine="0"/>
              <w:jc w:val="center"/>
            </w:pPr>
            <w:r>
              <w:rPr>
                <w:rFonts w:cs="Calibri"/>
                <w:color w:val="000000"/>
                <w:sz w:val="16"/>
                <w:szCs w:val="16"/>
              </w:rPr>
              <w:t>54</w:t>
            </w:r>
          </w:p>
        </w:tc>
        <w:tc>
          <w:tcPr>
            <w:tcW w:w="463" w:type="dxa"/>
            <w:tcBorders>
              <w:top w:val="single" w:sz="4" w:space="0" w:color="000080"/>
              <w:bottom w:val="single" w:sz="4" w:space="0" w:color="000080"/>
            </w:tcBorders>
            <w:shd w:val="clear" w:color="auto" w:fill="auto"/>
            <w:vAlign w:val="center"/>
          </w:tcPr>
          <w:p w14:paraId="14CBD7C9" w14:textId="77777777" w:rsidR="00061155" w:rsidRDefault="00061155">
            <w:pPr>
              <w:spacing w:line="240" w:lineRule="auto"/>
              <w:ind w:firstLine="0"/>
              <w:jc w:val="center"/>
            </w:pPr>
            <w:r>
              <w:rPr>
                <w:rFonts w:cs="Calibri"/>
                <w:color w:val="000000"/>
                <w:sz w:val="16"/>
                <w:szCs w:val="16"/>
              </w:rPr>
              <w:t>5</w:t>
            </w:r>
          </w:p>
        </w:tc>
        <w:tc>
          <w:tcPr>
            <w:tcW w:w="546" w:type="dxa"/>
            <w:tcBorders>
              <w:top w:val="single" w:sz="4" w:space="0" w:color="000080"/>
              <w:bottom w:val="single" w:sz="4" w:space="0" w:color="000080"/>
            </w:tcBorders>
            <w:shd w:val="clear" w:color="auto" w:fill="auto"/>
            <w:vAlign w:val="center"/>
          </w:tcPr>
          <w:p w14:paraId="6B21E5DA" w14:textId="77777777" w:rsidR="00061155" w:rsidRDefault="00061155">
            <w:pPr>
              <w:spacing w:line="240" w:lineRule="auto"/>
              <w:ind w:firstLine="0"/>
              <w:jc w:val="center"/>
            </w:pPr>
            <w:r>
              <w:rPr>
                <w:rFonts w:cs="Calibri"/>
                <w:color w:val="000000"/>
                <w:sz w:val="16"/>
                <w:szCs w:val="16"/>
              </w:rPr>
              <w:t>75</w:t>
            </w:r>
          </w:p>
        </w:tc>
        <w:tc>
          <w:tcPr>
            <w:tcW w:w="239" w:type="dxa"/>
            <w:tcBorders>
              <w:top w:val="single" w:sz="4" w:space="0" w:color="000080"/>
              <w:bottom w:val="single" w:sz="4" w:space="0" w:color="000080"/>
            </w:tcBorders>
            <w:shd w:val="clear" w:color="auto" w:fill="auto"/>
            <w:vAlign w:val="center"/>
          </w:tcPr>
          <w:p w14:paraId="0E7BC001"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3C8197BE" w14:textId="77777777" w:rsidR="00061155" w:rsidRDefault="00061155">
            <w:pPr>
              <w:spacing w:line="240" w:lineRule="auto"/>
              <w:ind w:firstLine="0"/>
              <w:jc w:val="center"/>
            </w:pPr>
            <w:r>
              <w:rPr>
                <w:rFonts w:cs="Calibri"/>
                <w:color w:val="000000"/>
                <w:sz w:val="16"/>
                <w:szCs w:val="16"/>
              </w:rPr>
              <w:t>0</w:t>
            </w:r>
          </w:p>
        </w:tc>
        <w:tc>
          <w:tcPr>
            <w:tcW w:w="609" w:type="dxa"/>
            <w:tcBorders>
              <w:top w:val="single" w:sz="4" w:space="0" w:color="000080"/>
              <w:bottom w:val="single" w:sz="4" w:space="0" w:color="000080"/>
            </w:tcBorders>
            <w:shd w:val="clear" w:color="auto" w:fill="auto"/>
            <w:vAlign w:val="center"/>
          </w:tcPr>
          <w:p w14:paraId="52A72266" w14:textId="77777777" w:rsidR="00061155" w:rsidRDefault="00061155">
            <w:pPr>
              <w:spacing w:line="240" w:lineRule="auto"/>
              <w:ind w:firstLine="0"/>
              <w:jc w:val="center"/>
            </w:pPr>
            <w:r>
              <w:rPr>
                <w:rFonts w:cs="Calibri"/>
                <w:color w:val="000000"/>
                <w:sz w:val="16"/>
                <w:szCs w:val="16"/>
              </w:rPr>
              <w:t>0</w:t>
            </w:r>
          </w:p>
        </w:tc>
        <w:tc>
          <w:tcPr>
            <w:tcW w:w="638" w:type="dxa"/>
            <w:tcBorders>
              <w:top w:val="single" w:sz="4" w:space="0" w:color="000080"/>
              <w:bottom w:val="single" w:sz="4" w:space="0" w:color="000080"/>
            </w:tcBorders>
            <w:shd w:val="clear" w:color="auto" w:fill="auto"/>
            <w:vAlign w:val="center"/>
          </w:tcPr>
          <w:p w14:paraId="70DF7CBE" w14:textId="77777777" w:rsidR="00061155" w:rsidRDefault="00061155">
            <w:pPr>
              <w:spacing w:line="240" w:lineRule="auto"/>
              <w:ind w:firstLine="0"/>
              <w:jc w:val="center"/>
            </w:pPr>
            <w:r>
              <w:rPr>
                <w:rFonts w:cs="Calibri"/>
                <w:color w:val="000000"/>
                <w:sz w:val="16"/>
                <w:szCs w:val="16"/>
              </w:rPr>
              <w:t>1</w:t>
            </w:r>
          </w:p>
        </w:tc>
        <w:tc>
          <w:tcPr>
            <w:tcW w:w="586" w:type="dxa"/>
            <w:tcBorders>
              <w:top w:val="single" w:sz="4" w:space="0" w:color="000080"/>
              <w:bottom w:val="single" w:sz="4" w:space="0" w:color="000080"/>
            </w:tcBorders>
            <w:shd w:val="clear" w:color="auto" w:fill="auto"/>
            <w:vAlign w:val="center"/>
          </w:tcPr>
          <w:p w14:paraId="48C16F1F" w14:textId="77777777" w:rsidR="00061155" w:rsidRDefault="00061155">
            <w:pPr>
              <w:spacing w:line="240" w:lineRule="auto"/>
              <w:ind w:firstLine="0"/>
              <w:jc w:val="center"/>
            </w:pPr>
            <w:r>
              <w:rPr>
                <w:rFonts w:cs="Calibri"/>
                <w:color w:val="000000"/>
                <w:sz w:val="16"/>
                <w:szCs w:val="16"/>
              </w:rPr>
              <w:t>1</w:t>
            </w:r>
          </w:p>
        </w:tc>
        <w:tc>
          <w:tcPr>
            <w:tcW w:w="432" w:type="dxa"/>
            <w:tcBorders>
              <w:top w:val="single" w:sz="4" w:space="0" w:color="000080"/>
              <w:bottom w:val="single" w:sz="4" w:space="0" w:color="000080"/>
            </w:tcBorders>
            <w:shd w:val="clear" w:color="auto" w:fill="auto"/>
            <w:vAlign w:val="center"/>
          </w:tcPr>
          <w:p w14:paraId="3FD0D9E5" w14:textId="77777777" w:rsidR="00061155" w:rsidRDefault="00061155">
            <w:pPr>
              <w:spacing w:line="240" w:lineRule="auto"/>
              <w:ind w:firstLine="0"/>
              <w:jc w:val="center"/>
            </w:pPr>
            <w:r>
              <w:rPr>
                <w:rFonts w:cs="Calibri"/>
                <w:color w:val="000000"/>
                <w:sz w:val="16"/>
                <w:szCs w:val="16"/>
              </w:rPr>
              <w:t>0</w:t>
            </w:r>
          </w:p>
        </w:tc>
        <w:tc>
          <w:tcPr>
            <w:tcW w:w="515" w:type="dxa"/>
            <w:tcBorders>
              <w:top w:val="single" w:sz="4" w:space="0" w:color="000080"/>
              <w:bottom w:val="single" w:sz="4" w:space="0" w:color="000080"/>
            </w:tcBorders>
            <w:shd w:val="clear" w:color="auto" w:fill="auto"/>
            <w:vAlign w:val="center"/>
          </w:tcPr>
          <w:p w14:paraId="4A43F3AB" w14:textId="77777777" w:rsidR="00061155" w:rsidRDefault="00061155">
            <w:pPr>
              <w:spacing w:line="240" w:lineRule="auto"/>
              <w:ind w:firstLine="0"/>
              <w:jc w:val="center"/>
            </w:pPr>
            <w:r>
              <w:rPr>
                <w:rFonts w:cs="Calibri"/>
                <w:color w:val="000000"/>
                <w:sz w:val="16"/>
                <w:szCs w:val="16"/>
              </w:rPr>
              <w:t>2</w:t>
            </w:r>
          </w:p>
        </w:tc>
        <w:tc>
          <w:tcPr>
            <w:tcW w:w="239" w:type="dxa"/>
            <w:tcBorders>
              <w:top w:val="single" w:sz="4" w:space="0" w:color="000080"/>
              <w:bottom w:val="single" w:sz="4" w:space="0" w:color="000080"/>
            </w:tcBorders>
            <w:shd w:val="clear" w:color="auto" w:fill="auto"/>
            <w:vAlign w:val="center"/>
          </w:tcPr>
          <w:p w14:paraId="2BE7B9EB"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73D43B31" w14:textId="77777777" w:rsidR="00061155" w:rsidRDefault="00061155">
            <w:pPr>
              <w:spacing w:line="240" w:lineRule="auto"/>
              <w:ind w:firstLine="0"/>
              <w:jc w:val="center"/>
            </w:pPr>
            <w:r>
              <w:rPr>
                <w:rFonts w:cs="Calibri"/>
                <w:color w:val="000000"/>
                <w:sz w:val="16"/>
                <w:szCs w:val="16"/>
              </w:rPr>
              <w:t>77</w:t>
            </w:r>
          </w:p>
        </w:tc>
      </w:tr>
      <w:tr w:rsidR="00061155" w14:paraId="00B0426A" w14:textId="77777777">
        <w:trPr>
          <w:trHeight w:val="244"/>
        </w:trPr>
        <w:tc>
          <w:tcPr>
            <w:tcW w:w="6231" w:type="dxa"/>
            <w:tcBorders>
              <w:top w:val="single" w:sz="4" w:space="0" w:color="000080"/>
              <w:bottom w:val="single" w:sz="4" w:space="0" w:color="000080"/>
            </w:tcBorders>
            <w:shd w:val="clear" w:color="auto" w:fill="auto"/>
            <w:vAlign w:val="center"/>
          </w:tcPr>
          <w:p w14:paraId="1D30BD6C" w14:textId="77777777" w:rsidR="00061155" w:rsidRDefault="00061155">
            <w:pPr>
              <w:pStyle w:val="Paragrafoelenco"/>
              <w:numPr>
                <w:ilvl w:val="0"/>
                <w:numId w:val="4"/>
              </w:numPr>
              <w:spacing w:line="240" w:lineRule="auto"/>
            </w:pPr>
            <w:r>
              <w:rPr>
                <w:rFonts w:cs="Calibri"/>
                <w:color w:val="000000"/>
                <w:sz w:val="16"/>
                <w:szCs w:val="16"/>
              </w:rPr>
              <w:t>Tighten or maintain ties with other people (e.g., friendship ties, work ties)</w:t>
            </w:r>
          </w:p>
        </w:tc>
        <w:tc>
          <w:tcPr>
            <w:tcW w:w="239" w:type="dxa"/>
            <w:tcBorders>
              <w:top w:val="single" w:sz="4" w:space="0" w:color="000080"/>
              <w:bottom w:val="single" w:sz="4" w:space="0" w:color="000080"/>
            </w:tcBorders>
            <w:shd w:val="clear" w:color="auto" w:fill="auto"/>
          </w:tcPr>
          <w:p w14:paraId="71DF9CB7"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2A8C196F" w14:textId="77777777" w:rsidR="00061155" w:rsidRDefault="00061155">
            <w:pPr>
              <w:spacing w:line="240" w:lineRule="auto"/>
              <w:ind w:firstLine="0"/>
              <w:jc w:val="center"/>
            </w:pPr>
            <w:r>
              <w:rPr>
                <w:rFonts w:cs="Calibri"/>
                <w:color w:val="000000"/>
                <w:sz w:val="16"/>
                <w:szCs w:val="16"/>
              </w:rPr>
              <w:t>2</w:t>
            </w:r>
          </w:p>
        </w:tc>
        <w:tc>
          <w:tcPr>
            <w:tcW w:w="640" w:type="dxa"/>
            <w:tcBorders>
              <w:top w:val="single" w:sz="4" w:space="0" w:color="000080"/>
              <w:bottom w:val="single" w:sz="4" w:space="0" w:color="000080"/>
            </w:tcBorders>
            <w:shd w:val="clear" w:color="auto" w:fill="auto"/>
            <w:vAlign w:val="center"/>
          </w:tcPr>
          <w:p w14:paraId="5BB88207" w14:textId="77777777" w:rsidR="00061155" w:rsidRDefault="00061155">
            <w:pPr>
              <w:spacing w:line="240" w:lineRule="auto"/>
              <w:ind w:firstLine="0"/>
              <w:jc w:val="center"/>
            </w:pPr>
            <w:r>
              <w:rPr>
                <w:rFonts w:cs="Calibri"/>
                <w:color w:val="000000"/>
                <w:sz w:val="16"/>
                <w:szCs w:val="16"/>
              </w:rPr>
              <w:t>5</w:t>
            </w:r>
          </w:p>
        </w:tc>
        <w:tc>
          <w:tcPr>
            <w:tcW w:w="669" w:type="dxa"/>
            <w:tcBorders>
              <w:top w:val="single" w:sz="4" w:space="0" w:color="000080"/>
              <w:bottom w:val="single" w:sz="4" w:space="0" w:color="000080"/>
            </w:tcBorders>
            <w:shd w:val="clear" w:color="auto" w:fill="auto"/>
            <w:vAlign w:val="center"/>
          </w:tcPr>
          <w:p w14:paraId="5061240E" w14:textId="77777777" w:rsidR="00061155" w:rsidRDefault="00061155">
            <w:pPr>
              <w:spacing w:line="240" w:lineRule="auto"/>
              <w:ind w:firstLine="0"/>
              <w:jc w:val="center"/>
            </w:pPr>
            <w:r>
              <w:rPr>
                <w:rFonts w:cs="Calibri"/>
                <w:color w:val="000000"/>
                <w:sz w:val="16"/>
                <w:szCs w:val="16"/>
              </w:rPr>
              <w:t>2</w:t>
            </w:r>
          </w:p>
        </w:tc>
        <w:tc>
          <w:tcPr>
            <w:tcW w:w="616" w:type="dxa"/>
            <w:tcBorders>
              <w:top w:val="single" w:sz="4" w:space="0" w:color="000080"/>
              <w:bottom w:val="single" w:sz="4" w:space="0" w:color="000080"/>
            </w:tcBorders>
            <w:shd w:val="clear" w:color="auto" w:fill="auto"/>
            <w:vAlign w:val="center"/>
          </w:tcPr>
          <w:p w14:paraId="39B0FAF0" w14:textId="77777777" w:rsidR="00061155" w:rsidRDefault="00061155">
            <w:pPr>
              <w:spacing w:line="240" w:lineRule="auto"/>
              <w:ind w:firstLine="0"/>
              <w:jc w:val="center"/>
            </w:pPr>
            <w:r>
              <w:rPr>
                <w:rFonts w:cs="Calibri"/>
                <w:color w:val="000000"/>
                <w:sz w:val="16"/>
                <w:szCs w:val="16"/>
              </w:rPr>
              <w:t>29</w:t>
            </w:r>
          </w:p>
        </w:tc>
        <w:tc>
          <w:tcPr>
            <w:tcW w:w="463" w:type="dxa"/>
            <w:tcBorders>
              <w:top w:val="single" w:sz="4" w:space="0" w:color="000080"/>
              <w:bottom w:val="single" w:sz="4" w:space="0" w:color="000080"/>
            </w:tcBorders>
            <w:shd w:val="clear" w:color="auto" w:fill="auto"/>
            <w:vAlign w:val="center"/>
          </w:tcPr>
          <w:p w14:paraId="55979876" w14:textId="77777777" w:rsidR="00061155" w:rsidRDefault="00061155">
            <w:pPr>
              <w:spacing w:line="240" w:lineRule="auto"/>
              <w:ind w:firstLine="0"/>
              <w:jc w:val="center"/>
            </w:pPr>
            <w:r>
              <w:rPr>
                <w:rFonts w:cs="Calibri"/>
                <w:color w:val="000000"/>
                <w:sz w:val="16"/>
                <w:szCs w:val="16"/>
              </w:rPr>
              <w:t>1</w:t>
            </w:r>
          </w:p>
        </w:tc>
        <w:tc>
          <w:tcPr>
            <w:tcW w:w="546" w:type="dxa"/>
            <w:tcBorders>
              <w:top w:val="single" w:sz="4" w:space="0" w:color="000080"/>
              <w:bottom w:val="single" w:sz="4" w:space="0" w:color="000080"/>
            </w:tcBorders>
            <w:shd w:val="clear" w:color="auto" w:fill="auto"/>
            <w:vAlign w:val="center"/>
          </w:tcPr>
          <w:p w14:paraId="33C0C773" w14:textId="77777777" w:rsidR="00061155" w:rsidRDefault="00061155">
            <w:pPr>
              <w:spacing w:line="240" w:lineRule="auto"/>
              <w:ind w:firstLine="0"/>
              <w:jc w:val="center"/>
            </w:pPr>
            <w:r>
              <w:rPr>
                <w:rFonts w:cs="Calibri"/>
                <w:color w:val="000000"/>
                <w:sz w:val="16"/>
                <w:szCs w:val="16"/>
              </w:rPr>
              <w:t>39</w:t>
            </w:r>
          </w:p>
        </w:tc>
        <w:tc>
          <w:tcPr>
            <w:tcW w:w="239" w:type="dxa"/>
            <w:tcBorders>
              <w:top w:val="single" w:sz="4" w:space="0" w:color="000080"/>
              <w:bottom w:val="single" w:sz="4" w:space="0" w:color="000080"/>
            </w:tcBorders>
            <w:shd w:val="clear" w:color="auto" w:fill="auto"/>
            <w:vAlign w:val="center"/>
          </w:tcPr>
          <w:p w14:paraId="05B065CA"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5B3DB625" w14:textId="77777777" w:rsidR="00061155" w:rsidRDefault="00061155">
            <w:pPr>
              <w:spacing w:line="240" w:lineRule="auto"/>
              <w:ind w:firstLine="0"/>
              <w:jc w:val="center"/>
            </w:pPr>
            <w:r>
              <w:rPr>
                <w:rFonts w:cs="Calibri"/>
                <w:color w:val="000000"/>
                <w:sz w:val="16"/>
                <w:szCs w:val="16"/>
              </w:rPr>
              <w:t>2</w:t>
            </w:r>
          </w:p>
        </w:tc>
        <w:tc>
          <w:tcPr>
            <w:tcW w:w="609" w:type="dxa"/>
            <w:tcBorders>
              <w:top w:val="single" w:sz="4" w:space="0" w:color="000080"/>
              <w:bottom w:val="single" w:sz="4" w:space="0" w:color="000080"/>
            </w:tcBorders>
            <w:shd w:val="clear" w:color="auto" w:fill="auto"/>
            <w:vAlign w:val="center"/>
          </w:tcPr>
          <w:p w14:paraId="69819962" w14:textId="77777777" w:rsidR="00061155" w:rsidRDefault="00061155">
            <w:pPr>
              <w:spacing w:line="240" w:lineRule="auto"/>
              <w:ind w:firstLine="0"/>
              <w:jc w:val="center"/>
            </w:pPr>
            <w:r>
              <w:rPr>
                <w:rFonts w:cs="Calibri"/>
                <w:color w:val="000000"/>
                <w:sz w:val="16"/>
                <w:szCs w:val="16"/>
              </w:rPr>
              <w:t>9</w:t>
            </w:r>
          </w:p>
        </w:tc>
        <w:tc>
          <w:tcPr>
            <w:tcW w:w="638" w:type="dxa"/>
            <w:tcBorders>
              <w:top w:val="single" w:sz="4" w:space="0" w:color="000080"/>
              <w:bottom w:val="single" w:sz="4" w:space="0" w:color="000080"/>
            </w:tcBorders>
            <w:shd w:val="clear" w:color="auto" w:fill="auto"/>
            <w:vAlign w:val="center"/>
          </w:tcPr>
          <w:p w14:paraId="2BE62CAE" w14:textId="77777777" w:rsidR="00061155" w:rsidRDefault="00061155">
            <w:pPr>
              <w:spacing w:line="240" w:lineRule="auto"/>
              <w:ind w:firstLine="0"/>
              <w:jc w:val="center"/>
            </w:pPr>
            <w:r>
              <w:rPr>
                <w:rFonts w:cs="Calibri"/>
                <w:color w:val="000000"/>
                <w:sz w:val="16"/>
                <w:szCs w:val="16"/>
              </w:rPr>
              <w:t>0</w:t>
            </w:r>
          </w:p>
        </w:tc>
        <w:tc>
          <w:tcPr>
            <w:tcW w:w="586" w:type="dxa"/>
            <w:tcBorders>
              <w:top w:val="single" w:sz="4" w:space="0" w:color="000080"/>
              <w:bottom w:val="single" w:sz="4" w:space="0" w:color="000080"/>
            </w:tcBorders>
            <w:shd w:val="clear" w:color="auto" w:fill="auto"/>
            <w:vAlign w:val="center"/>
          </w:tcPr>
          <w:p w14:paraId="384CCE27" w14:textId="77777777" w:rsidR="00061155" w:rsidRDefault="00061155">
            <w:pPr>
              <w:spacing w:line="240" w:lineRule="auto"/>
              <w:ind w:firstLine="0"/>
              <w:jc w:val="center"/>
            </w:pPr>
            <w:r>
              <w:rPr>
                <w:rFonts w:cs="Calibri"/>
                <w:color w:val="000000"/>
                <w:sz w:val="16"/>
                <w:szCs w:val="16"/>
              </w:rPr>
              <w:t>3</w:t>
            </w:r>
          </w:p>
        </w:tc>
        <w:tc>
          <w:tcPr>
            <w:tcW w:w="432" w:type="dxa"/>
            <w:tcBorders>
              <w:top w:val="single" w:sz="4" w:space="0" w:color="000080"/>
              <w:bottom w:val="single" w:sz="4" w:space="0" w:color="000080"/>
            </w:tcBorders>
            <w:shd w:val="clear" w:color="auto" w:fill="auto"/>
            <w:vAlign w:val="center"/>
          </w:tcPr>
          <w:p w14:paraId="758D77D2" w14:textId="77777777" w:rsidR="00061155" w:rsidRDefault="00061155">
            <w:pPr>
              <w:spacing w:line="240" w:lineRule="auto"/>
              <w:ind w:firstLine="0"/>
              <w:jc w:val="center"/>
            </w:pPr>
            <w:r>
              <w:rPr>
                <w:rFonts w:cs="Calibri"/>
                <w:color w:val="000000"/>
                <w:sz w:val="16"/>
                <w:szCs w:val="16"/>
              </w:rPr>
              <w:t>3</w:t>
            </w:r>
          </w:p>
        </w:tc>
        <w:tc>
          <w:tcPr>
            <w:tcW w:w="515" w:type="dxa"/>
            <w:tcBorders>
              <w:top w:val="single" w:sz="4" w:space="0" w:color="000080"/>
              <w:bottom w:val="single" w:sz="4" w:space="0" w:color="000080"/>
            </w:tcBorders>
            <w:shd w:val="clear" w:color="auto" w:fill="auto"/>
            <w:vAlign w:val="center"/>
          </w:tcPr>
          <w:p w14:paraId="4F3AA255" w14:textId="77777777" w:rsidR="00061155" w:rsidRDefault="00061155">
            <w:pPr>
              <w:spacing w:line="240" w:lineRule="auto"/>
              <w:ind w:firstLine="0"/>
              <w:jc w:val="center"/>
            </w:pPr>
            <w:r>
              <w:rPr>
                <w:rFonts w:cs="Calibri"/>
                <w:color w:val="000000"/>
                <w:sz w:val="16"/>
                <w:szCs w:val="16"/>
              </w:rPr>
              <w:t>17</w:t>
            </w:r>
          </w:p>
        </w:tc>
        <w:tc>
          <w:tcPr>
            <w:tcW w:w="239" w:type="dxa"/>
            <w:tcBorders>
              <w:top w:val="single" w:sz="4" w:space="0" w:color="000080"/>
              <w:bottom w:val="single" w:sz="4" w:space="0" w:color="000080"/>
            </w:tcBorders>
            <w:shd w:val="clear" w:color="auto" w:fill="auto"/>
            <w:vAlign w:val="center"/>
          </w:tcPr>
          <w:p w14:paraId="17727837"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1D7A8796" w14:textId="77777777" w:rsidR="00061155" w:rsidRDefault="00061155">
            <w:pPr>
              <w:spacing w:line="240" w:lineRule="auto"/>
              <w:ind w:firstLine="0"/>
              <w:jc w:val="center"/>
            </w:pPr>
            <w:r>
              <w:rPr>
                <w:rFonts w:cs="Calibri"/>
                <w:color w:val="000000"/>
                <w:sz w:val="16"/>
                <w:szCs w:val="16"/>
              </w:rPr>
              <w:t>56</w:t>
            </w:r>
          </w:p>
        </w:tc>
      </w:tr>
      <w:tr w:rsidR="00061155" w14:paraId="0BBF24E6" w14:textId="77777777">
        <w:trPr>
          <w:trHeight w:val="244"/>
        </w:trPr>
        <w:tc>
          <w:tcPr>
            <w:tcW w:w="6231" w:type="dxa"/>
            <w:tcBorders>
              <w:top w:val="single" w:sz="4" w:space="0" w:color="000080"/>
              <w:bottom w:val="single" w:sz="4" w:space="0" w:color="000080"/>
            </w:tcBorders>
            <w:shd w:val="clear" w:color="auto" w:fill="auto"/>
            <w:vAlign w:val="center"/>
          </w:tcPr>
          <w:p w14:paraId="04F08379" w14:textId="77777777" w:rsidR="00061155" w:rsidRDefault="00061155">
            <w:pPr>
              <w:pStyle w:val="Paragrafoelenco"/>
              <w:numPr>
                <w:ilvl w:val="0"/>
                <w:numId w:val="4"/>
              </w:numPr>
              <w:spacing w:line="240" w:lineRule="auto"/>
            </w:pPr>
            <w:r>
              <w:rPr>
                <w:rFonts w:cs="Calibri"/>
                <w:color w:val="000000"/>
                <w:sz w:val="16"/>
                <w:szCs w:val="16"/>
              </w:rPr>
              <w:t>Manipulate other people’s behavior (e.g., attract attention, get help)</w:t>
            </w:r>
          </w:p>
        </w:tc>
        <w:tc>
          <w:tcPr>
            <w:tcW w:w="239" w:type="dxa"/>
            <w:tcBorders>
              <w:top w:val="single" w:sz="4" w:space="0" w:color="000080"/>
              <w:bottom w:val="single" w:sz="4" w:space="0" w:color="000080"/>
            </w:tcBorders>
            <w:shd w:val="clear" w:color="auto" w:fill="auto"/>
          </w:tcPr>
          <w:p w14:paraId="19F07DD2"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3A179D7D" w14:textId="77777777" w:rsidR="00061155" w:rsidRDefault="00061155">
            <w:pPr>
              <w:spacing w:line="240" w:lineRule="auto"/>
              <w:ind w:firstLine="0"/>
              <w:jc w:val="center"/>
            </w:pPr>
            <w:r>
              <w:rPr>
                <w:rFonts w:cs="Calibri"/>
                <w:color w:val="000000"/>
                <w:sz w:val="16"/>
                <w:szCs w:val="16"/>
              </w:rPr>
              <w:t>0</w:t>
            </w:r>
          </w:p>
        </w:tc>
        <w:tc>
          <w:tcPr>
            <w:tcW w:w="640" w:type="dxa"/>
            <w:tcBorders>
              <w:top w:val="single" w:sz="4" w:space="0" w:color="000080"/>
              <w:bottom w:val="single" w:sz="4" w:space="0" w:color="000080"/>
            </w:tcBorders>
            <w:shd w:val="clear" w:color="auto" w:fill="auto"/>
            <w:vAlign w:val="center"/>
          </w:tcPr>
          <w:p w14:paraId="3701A7D2" w14:textId="77777777" w:rsidR="00061155" w:rsidRDefault="00061155">
            <w:pPr>
              <w:spacing w:line="240" w:lineRule="auto"/>
              <w:ind w:firstLine="0"/>
              <w:jc w:val="center"/>
            </w:pPr>
            <w:r>
              <w:rPr>
                <w:rFonts w:cs="Calibri"/>
                <w:color w:val="000000"/>
                <w:sz w:val="16"/>
                <w:szCs w:val="16"/>
              </w:rPr>
              <w:t>1</w:t>
            </w:r>
          </w:p>
        </w:tc>
        <w:tc>
          <w:tcPr>
            <w:tcW w:w="669" w:type="dxa"/>
            <w:tcBorders>
              <w:top w:val="single" w:sz="4" w:space="0" w:color="000080"/>
              <w:bottom w:val="single" w:sz="4" w:space="0" w:color="000080"/>
            </w:tcBorders>
            <w:shd w:val="clear" w:color="auto" w:fill="auto"/>
            <w:vAlign w:val="center"/>
          </w:tcPr>
          <w:p w14:paraId="5590066B" w14:textId="77777777" w:rsidR="00061155" w:rsidRDefault="00061155">
            <w:pPr>
              <w:spacing w:line="240" w:lineRule="auto"/>
              <w:ind w:firstLine="0"/>
              <w:jc w:val="center"/>
            </w:pPr>
            <w:r>
              <w:rPr>
                <w:rFonts w:cs="Calibri"/>
                <w:color w:val="000000"/>
                <w:sz w:val="16"/>
                <w:szCs w:val="16"/>
              </w:rPr>
              <w:t>0</w:t>
            </w:r>
          </w:p>
        </w:tc>
        <w:tc>
          <w:tcPr>
            <w:tcW w:w="616" w:type="dxa"/>
            <w:tcBorders>
              <w:top w:val="single" w:sz="4" w:space="0" w:color="000080"/>
              <w:bottom w:val="single" w:sz="4" w:space="0" w:color="000080"/>
            </w:tcBorders>
            <w:shd w:val="clear" w:color="auto" w:fill="auto"/>
            <w:vAlign w:val="center"/>
          </w:tcPr>
          <w:p w14:paraId="11531CA0" w14:textId="77777777" w:rsidR="00061155" w:rsidRDefault="00061155">
            <w:pPr>
              <w:spacing w:line="240" w:lineRule="auto"/>
              <w:ind w:firstLine="0"/>
              <w:jc w:val="center"/>
            </w:pPr>
            <w:r>
              <w:rPr>
                <w:rFonts w:cs="Calibri"/>
                <w:color w:val="000000"/>
                <w:sz w:val="16"/>
                <w:szCs w:val="16"/>
              </w:rPr>
              <w:t>2</w:t>
            </w:r>
          </w:p>
        </w:tc>
        <w:tc>
          <w:tcPr>
            <w:tcW w:w="463" w:type="dxa"/>
            <w:tcBorders>
              <w:top w:val="single" w:sz="4" w:space="0" w:color="000080"/>
              <w:bottom w:val="single" w:sz="4" w:space="0" w:color="000080"/>
            </w:tcBorders>
            <w:shd w:val="clear" w:color="auto" w:fill="auto"/>
            <w:vAlign w:val="center"/>
          </w:tcPr>
          <w:p w14:paraId="3C7DF33A"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46E8CE63" w14:textId="77777777" w:rsidR="00061155" w:rsidRDefault="00061155">
            <w:pPr>
              <w:spacing w:line="240" w:lineRule="auto"/>
              <w:ind w:firstLine="0"/>
              <w:jc w:val="center"/>
            </w:pPr>
            <w:r>
              <w:rPr>
                <w:rFonts w:cs="Calibri"/>
                <w:color w:val="000000"/>
                <w:sz w:val="16"/>
                <w:szCs w:val="16"/>
              </w:rPr>
              <w:t>3</w:t>
            </w:r>
          </w:p>
        </w:tc>
        <w:tc>
          <w:tcPr>
            <w:tcW w:w="239" w:type="dxa"/>
            <w:tcBorders>
              <w:top w:val="single" w:sz="4" w:space="0" w:color="000080"/>
              <w:bottom w:val="single" w:sz="4" w:space="0" w:color="000080"/>
            </w:tcBorders>
            <w:shd w:val="clear" w:color="auto" w:fill="auto"/>
            <w:vAlign w:val="center"/>
          </w:tcPr>
          <w:p w14:paraId="6C428F64"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5083F0F4" w14:textId="77777777" w:rsidR="00061155" w:rsidRDefault="00061155">
            <w:pPr>
              <w:spacing w:line="240" w:lineRule="auto"/>
              <w:ind w:firstLine="0"/>
              <w:jc w:val="center"/>
            </w:pPr>
            <w:r>
              <w:rPr>
                <w:rFonts w:cs="Calibri"/>
                <w:color w:val="000000"/>
                <w:sz w:val="16"/>
                <w:szCs w:val="16"/>
              </w:rPr>
              <w:t>5</w:t>
            </w:r>
          </w:p>
        </w:tc>
        <w:tc>
          <w:tcPr>
            <w:tcW w:w="609" w:type="dxa"/>
            <w:tcBorders>
              <w:top w:val="single" w:sz="4" w:space="0" w:color="000080"/>
              <w:bottom w:val="single" w:sz="4" w:space="0" w:color="000080"/>
            </w:tcBorders>
            <w:shd w:val="clear" w:color="auto" w:fill="auto"/>
            <w:vAlign w:val="center"/>
          </w:tcPr>
          <w:p w14:paraId="70BFA3C5" w14:textId="77777777" w:rsidR="00061155" w:rsidRDefault="00061155">
            <w:pPr>
              <w:spacing w:line="240" w:lineRule="auto"/>
              <w:ind w:firstLine="0"/>
              <w:jc w:val="center"/>
            </w:pPr>
            <w:r>
              <w:rPr>
                <w:rFonts w:cs="Calibri"/>
                <w:color w:val="000000"/>
                <w:sz w:val="16"/>
                <w:szCs w:val="16"/>
              </w:rPr>
              <w:t>8</w:t>
            </w:r>
          </w:p>
        </w:tc>
        <w:tc>
          <w:tcPr>
            <w:tcW w:w="638" w:type="dxa"/>
            <w:tcBorders>
              <w:top w:val="single" w:sz="4" w:space="0" w:color="000080"/>
              <w:bottom w:val="single" w:sz="4" w:space="0" w:color="000080"/>
            </w:tcBorders>
            <w:shd w:val="clear" w:color="auto" w:fill="auto"/>
            <w:vAlign w:val="center"/>
          </w:tcPr>
          <w:p w14:paraId="02FAA253" w14:textId="77777777" w:rsidR="00061155" w:rsidRDefault="00061155">
            <w:pPr>
              <w:spacing w:line="240" w:lineRule="auto"/>
              <w:ind w:firstLine="0"/>
              <w:jc w:val="center"/>
            </w:pPr>
            <w:r>
              <w:rPr>
                <w:rFonts w:cs="Calibri"/>
                <w:color w:val="000000"/>
                <w:sz w:val="16"/>
                <w:szCs w:val="16"/>
              </w:rPr>
              <w:t>10</w:t>
            </w:r>
          </w:p>
        </w:tc>
        <w:tc>
          <w:tcPr>
            <w:tcW w:w="586" w:type="dxa"/>
            <w:tcBorders>
              <w:top w:val="single" w:sz="4" w:space="0" w:color="000080"/>
              <w:bottom w:val="single" w:sz="4" w:space="0" w:color="000080"/>
            </w:tcBorders>
            <w:shd w:val="clear" w:color="auto" w:fill="auto"/>
            <w:vAlign w:val="center"/>
          </w:tcPr>
          <w:p w14:paraId="6431F10A" w14:textId="77777777" w:rsidR="00061155" w:rsidRDefault="00061155">
            <w:pPr>
              <w:spacing w:line="240" w:lineRule="auto"/>
              <w:ind w:firstLine="0"/>
              <w:jc w:val="center"/>
            </w:pPr>
            <w:r>
              <w:rPr>
                <w:rFonts w:cs="Calibri"/>
                <w:color w:val="000000"/>
                <w:sz w:val="16"/>
                <w:szCs w:val="16"/>
              </w:rPr>
              <w:t>6</w:t>
            </w:r>
          </w:p>
        </w:tc>
        <w:tc>
          <w:tcPr>
            <w:tcW w:w="432" w:type="dxa"/>
            <w:tcBorders>
              <w:top w:val="single" w:sz="4" w:space="0" w:color="000080"/>
              <w:bottom w:val="single" w:sz="4" w:space="0" w:color="000080"/>
            </w:tcBorders>
            <w:shd w:val="clear" w:color="auto" w:fill="auto"/>
            <w:vAlign w:val="center"/>
          </w:tcPr>
          <w:p w14:paraId="6AF8F0E3" w14:textId="77777777" w:rsidR="00061155" w:rsidRDefault="00061155">
            <w:pPr>
              <w:spacing w:line="240" w:lineRule="auto"/>
              <w:ind w:firstLine="0"/>
              <w:jc w:val="center"/>
            </w:pPr>
            <w:r>
              <w:rPr>
                <w:rFonts w:cs="Calibri"/>
                <w:color w:val="000000"/>
                <w:sz w:val="16"/>
                <w:szCs w:val="16"/>
              </w:rPr>
              <w:t>7</w:t>
            </w:r>
          </w:p>
        </w:tc>
        <w:tc>
          <w:tcPr>
            <w:tcW w:w="515" w:type="dxa"/>
            <w:tcBorders>
              <w:top w:val="single" w:sz="4" w:space="0" w:color="000080"/>
              <w:bottom w:val="single" w:sz="4" w:space="0" w:color="000080"/>
            </w:tcBorders>
            <w:shd w:val="clear" w:color="auto" w:fill="auto"/>
            <w:vAlign w:val="center"/>
          </w:tcPr>
          <w:p w14:paraId="6B3E26A7" w14:textId="77777777" w:rsidR="00061155" w:rsidRDefault="00061155">
            <w:pPr>
              <w:spacing w:line="240" w:lineRule="auto"/>
              <w:ind w:firstLine="0"/>
              <w:jc w:val="center"/>
            </w:pPr>
            <w:r>
              <w:rPr>
                <w:rFonts w:cs="Calibri"/>
                <w:color w:val="000000"/>
                <w:sz w:val="16"/>
                <w:szCs w:val="16"/>
              </w:rPr>
              <w:t>36</w:t>
            </w:r>
          </w:p>
        </w:tc>
        <w:tc>
          <w:tcPr>
            <w:tcW w:w="239" w:type="dxa"/>
            <w:tcBorders>
              <w:top w:val="single" w:sz="4" w:space="0" w:color="000080"/>
              <w:bottom w:val="single" w:sz="4" w:space="0" w:color="000080"/>
            </w:tcBorders>
            <w:shd w:val="clear" w:color="auto" w:fill="auto"/>
            <w:vAlign w:val="center"/>
          </w:tcPr>
          <w:p w14:paraId="4A5DCDFA"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0BB3CCA9" w14:textId="77777777" w:rsidR="00061155" w:rsidRDefault="00061155">
            <w:pPr>
              <w:spacing w:line="240" w:lineRule="auto"/>
              <w:ind w:firstLine="0"/>
              <w:jc w:val="center"/>
            </w:pPr>
            <w:r>
              <w:rPr>
                <w:rFonts w:cs="Calibri"/>
                <w:color w:val="000000"/>
                <w:sz w:val="16"/>
                <w:szCs w:val="16"/>
              </w:rPr>
              <w:t>39</w:t>
            </w:r>
          </w:p>
        </w:tc>
      </w:tr>
      <w:tr w:rsidR="00061155" w14:paraId="170F932D" w14:textId="77777777">
        <w:trPr>
          <w:trHeight w:val="244"/>
        </w:trPr>
        <w:tc>
          <w:tcPr>
            <w:tcW w:w="6231" w:type="dxa"/>
            <w:tcBorders>
              <w:top w:val="single" w:sz="4" w:space="0" w:color="000080"/>
              <w:bottom w:val="single" w:sz="4" w:space="0" w:color="000080"/>
            </w:tcBorders>
            <w:shd w:val="clear" w:color="auto" w:fill="auto"/>
            <w:vAlign w:val="center"/>
          </w:tcPr>
          <w:p w14:paraId="3EF73331" w14:textId="77777777" w:rsidR="00061155" w:rsidRDefault="00061155">
            <w:pPr>
              <w:pStyle w:val="Paragrafoelenco"/>
              <w:numPr>
                <w:ilvl w:val="0"/>
                <w:numId w:val="4"/>
              </w:numPr>
              <w:spacing w:line="240" w:lineRule="auto"/>
            </w:pPr>
            <w:r>
              <w:rPr>
                <w:rFonts w:cs="Calibri"/>
                <w:color w:val="000000"/>
                <w:sz w:val="16"/>
                <w:szCs w:val="16"/>
              </w:rPr>
              <w:t>Do good to someone, avoid hurting</w:t>
            </w:r>
          </w:p>
        </w:tc>
        <w:tc>
          <w:tcPr>
            <w:tcW w:w="239" w:type="dxa"/>
            <w:tcBorders>
              <w:top w:val="single" w:sz="4" w:space="0" w:color="000080"/>
              <w:bottom w:val="single" w:sz="4" w:space="0" w:color="000080"/>
            </w:tcBorders>
            <w:shd w:val="clear" w:color="auto" w:fill="auto"/>
          </w:tcPr>
          <w:p w14:paraId="2C73BC03"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6F00976E" w14:textId="77777777" w:rsidR="00061155" w:rsidRDefault="00061155">
            <w:pPr>
              <w:spacing w:line="240" w:lineRule="auto"/>
              <w:ind w:firstLine="0"/>
              <w:jc w:val="center"/>
            </w:pPr>
            <w:r>
              <w:rPr>
                <w:rFonts w:cs="Calibri"/>
                <w:color w:val="000000"/>
                <w:sz w:val="16"/>
                <w:szCs w:val="16"/>
              </w:rPr>
              <w:t>2</w:t>
            </w:r>
          </w:p>
        </w:tc>
        <w:tc>
          <w:tcPr>
            <w:tcW w:w="640" w:type="dxa"/>
            <w:tcBorders>
              <w:top w:val="single" w:sz="4" w:space="0" w:color="000080"/>
              <w:bottom w:val="single" w:sz="4" w:space="0" w:color="000080"/>
            </w:tcBorders>
            <w:shd w:val="clear" w:color="auto" w:fill="auto"/>
            <w:vAlign w:val="center"/>
          </w:tcPr>
          <w:p w14:paraId="04BE36B9" w14:textId="77777777" w:rsidR="00061155" w:rsidRDefault="00061155">
            <w:pPr>
              <w:spacing w:line="240" w:lineRule="auto"/>
              <w:ind w:firstLine="0"/>
              <w:jc w:val="center"/>
            </w:pPr>
            <w:r>
              <w:rPr>
                <w:rFonts w:cs="Calibri"/>
                <w:color w:val="000000"/>
                <w:sz w:val="16"/>
                <w:szCs w:val="16"/>
              </w:rPr>
              <w:t>5</w:t>
            </w:r>
          </w:p>
        </w:tc>
        <w:tc>
          <w:tcPr>
            <w:tcW w:w="669" w:type="dxa"/>
            <w:tcBorders>
              <w:top w:val="single" w:sz="4" w:space="0" w:color="000080"/>
              <w:bottom w:val="single" w:sz="4" w:space="0" w:color="000080"/>
            </w:tcBorders>
            <w:shd w:val="clear" w:color="auto" w:fill="auto"/>
            <w:vAlign w:val="center"/>
          </w:tcPr>
          <w:p w14:paraId="10461015" w14:textId="77777777" w:rsidR="00061155" w:rsidRDefault="00061155">
            <w:pPr>
              <w:spacing w:line="240" w:lineRule="auto"/>
              <w:ind w:firstLine="0"/>
              <w:jc w:val="center"/>
            </w:pPr>
            <w:r>
              <w:rPr>
                <w:rFonts w:cs="Calibri"/>
                <w:color w:val="000000"/>
                <w:sz w:val="16"/>
                <w:szCs w:val="16"/>
              </w:rPr>
              <w:t>0</w:t>
            </w:r>
          </w:p>
        </w:tc>
        <w:tc>
          <w:tcPr>
            <w:tcW w:w="616" w:type="dxa"/>
            <w:tcBorders>
              <w:top w:val="single" w:sz="4" w:space="0" w:color="000080"/>
              <w:bottom w:val="single" w:sz="4" w:space="0" w:color="000080"/>
            </w:tcBorders>
            <w:shd w:val="clear" w:color="auto" w:fill="auto"/>
            <w:vAlign w:val="center"/>
          </w:tcPr>
          <w:p w14:paraId="6AE3A3EF" w14:textId="77777777" w:rsidR="00061155" w:rsidRDefault="00061155">
            <w:pPr>
              <w:spacing w:line="240" w:lineRule="auto"/>
              <w:ind w:firstLine="0"/>
              <w:jc w:val="center"/>
            </w:pPr>
            <w:r>
              <w:rPr>
                <w:rFonts w:cs="Calibri"/>
                <w:color w:val="000000"/>
                <w:sz w:val="16"/>
                <w:szCs w:val="16"/>
              </w:rPr>
              <w:t>22</w:t>
            </w:r>
          </w:p>
        </w:tc>
        <w:tc>
          <w:tcPr>
            <w:tcW w:w="463" w:type="dxa"/>
            <w:tcBorders>
              <w:top w:val="single" w:sz="4" w:space="0" w:color="000080"/>
              <w:bottom w:val="single" w:sz="4" w:space="0" w:color="000080"/>
            </w:tcBorders>
            <w:shd w:val="clear" w:color="auto" w:fill="auto"/>
            <w:vAlign w:val="center"/>
          </w:tcPr>
          <w:p w14:paraId="3A14EB68" w14:textId="77777777" w:rsidR="00061155" w:rsidRDefault="00061155">
            <w:pPr>
              <w:spacing w:line="240" w:lineRule="auto"/>
              <w:ind w:firstLine="0"/>
              <w:jc w:val="center"/>
            </w:pPr>
            <w:r>
              <w:rPr>
                <w:rFonts w:cs="Calibri"/>
                <w:color w:val="000000"/>
                <w:sz w:val="16"/>
                <w:szCs w:val="16"/>
              </w:rPr>
              <w:t>5</w:t>
            </w:r>
          </w:p>
        </w:tc>
        <w:tc>
          <w:tcPr>
            <w:tcW w:w="546" w:type="dxa"/>
            <w:tcBorders>
              <w:top w:val="single" w:sz="4" w:space="0" w:color="000080"/>
              <w:bottom w:val="single" w:sz="4" w:space="0" w:color="000080"/>
            </w:tcBorders>
            <w:shd w:val="clear" w:color="auto" w:fill="auto"/>
            <w:vAlign w:val="center"/>
          </w:tcPr>
          <w:p w14:paraId="4F97B7B1" w14:textId="77777777" w:rsidR="00061155" w:rsidRDefault="00061155">
            <w:pPr>
              <w:spacing w:line="240" w:lineRule="auto"/>
              <w:ind w:firstLine="0"/>
              <w:jc w:val="center"/>
            </w:pPr>
            <w:r>
              <w:rPr>
                <w:rFonts w:cs="Calibri"/>
                <w:color w:val="000000"/>
                <w:sz w:val="16"/>
                <w:szCs w:val="16"/>
              </w:rPr>
              <w:t>34</w:t>
            </w:r>
          </w:p>
        </w:tc>
        <w:tc>
          <w:tcPr>
            <w:tcW w:w="239" w:type="dxa"/>
            <w:tcBorders>
              <w:top w:val="single" w:sz="4" w:space="0" w:color="000080"/>
              <w:bottom w:val="single" w:sz="4" w:space="0" w:color="000080"/>
            </w:tcBorders>
            <w:shd w:val="clear" w:color="auto" w:fill="auto"/>
            <w:vAlign w:val="center"/>
          </w:tcPr>
          <w:p w14:paraId="0A6EE303"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5B07982B" w14:textId="77777777" w:rsidR="00061155" w:rsidRDefault="00061155">
            <w:pPr>
              <w:spacing w:line="240" w:lineRule="auto"/>
              <w:ind w:firstLine="0"/>
              <w:jc w:val="center"/>
            </w:pPr>
            <w:r>
              <w:rPr>
                <w:rFonts w:cs="Calibri"/>
                <w:color w:val="000000"/>
                <w:sz w:val="16"/>
                <w:szCs w:val="16"/>
              </w:rPr>
              <w:t>0</w:t>
            </w:r>
          </w:p>
        </w:tc>
        <w:tc>
          <w:tcPr>
            <w:tcW w:w="609" w:type="dxa"/>
            <w:tcBorders>
              <w:top w:val="single" w:sz="4" w:space="0" w:color="000080"/>
              <w:bottom w:val="single" w:sz="4" w:space="0" w:color="000080"/>
            </w:tcBorders>
            <w:shd w:val="clear" w:color="auto" w:fill="auto"/>
            <w:vAlign w:val="center"/>
          </w:tcPr>
          <w:p w14:paraId="4D659EA9" w14:textId="77777777" w:rsidR="00061155" w:rsidRDefault="00061155">
            <w:pPr>
              <w:spacing w:line="240" w:lineRule="auto"/>
              <w:ind w:firstLine="0"/>
              <w:jc w:val="center"/>
            </w:pPr>
            <w:r>
              <w:rPr>
                <w:rFonts w:cs="Calibri"/>
                <w:color w:val="000000"/>
                <w:sz w:val="16"/>
                <w:szCs w:val="16"/>
              </w:rPr>
              <w:t>1</w:t>
            </w:r>
          </w:p>
        </w:tc>
        <w:tc>
          <w:tcPr>
            <w:tcW w:w="638" w:type="dxa"/>
            <w:tcBorders>
              <w:top w:val="single" w:sz="4" w:space="0" w:color="000080"/>
              <w:bottom w:val="single" w:sz="4" w:space="0" w:color="000080"/>
            </w:tcBorders>
            <w:shd w:val="clear" w:color="auto" w:fill="auto"/>
            <w:vAlign w:val="center"/>
          </w:tcPr>
          <w:p w14:paraId="4E848898" w14:textId="77777777" w:rsidR="00061155" w:rsidRDefault="00061155">
            <w:pPr>
              <w:spacing w:line="240" w:lineRule="auto"/>
              <w:ind w:firstLine="0"/>
              <w:jc w:val="center"/>
            </w:pPr>
            <w:r>
              <w:rPr>
                <w:rFonts w:cs="Calibri"/>
                <w:color w:val="000000"/>
                <w:sz w:val="16"/>
                <w:szCs w:val="16"/>
              </w:rPr>
              <w:t>0</w:t>
            </w:r>
          </w:p>
        </w:tc>
        <w:tc>
          <w:tcPr>
            <w:tcW w:w="586" w:type="dxa"/>
            <w:tcBorders>
              <w:top w:val="single" w:sz="4" w:space="0" w:color="000080"/>
              <w:bottom w:val="single" w:sz="4" w:space="0" w:color="000080"/>
            </w:tcBorders>
            <w:shd w:val="clear" w:color="auto" w:fill="auto"/>
            <w:vAlign w:val="center"/>
          </w:tcPr>
          <w:p w14:paraId="4D7908D5" w14:textId="77777777" w:rsidR="00061155" w:rsidRDefault="00061155">
            <w:pPr>
              <w:spacing w:line="240" w:lineRule="auto"/>
              <w:ind w:firstLine="0"/>
              <w:jc w:val="center"/>
            </w:pPr>
            <w:r>
              <w:rPr>
                <w:rFonts w:cs="Calibri"/>
                <w:color w:val="000000"/>
                <w:sz w:val="16"/>
                <w:szCs w:val="16"/>
              </w:rPr>
              <w:t>1</w:t>
            </w:r>
          </w:p>
        </w:tc>
        <w:tc>
          <w:tcPr>
            <w:tcW w:w="432" w:type="dxa"/>
            <w:tcBorders>
              <w:top w:val="single" w:sz="4" w:space="0" w:color="000080"/>
              <w:bottom w:val="single" w:sz="4" w:space="0" w:color="000080"/>
            </w:tcBorders>
            <w:shd w:val="clear" w:color="auto" w:fill="auto"/>
            <w:vAlign w:val="center"/>
          </w:tcPr>
          <w:p w14:paraId="3754B683" w14:textId="77777777" w:rsidR="00061155" w:rsidRDefault="00061155">
            <w:pPr>
              <w:spacing w:line="240" w:lineRule="auto"/>
              <w:ind w:firstLine="0"/>
              <w:jc w:val="center"/>
            </w:pPr>
            <w:r>
              <w:rPr>
                <w:rFonts w:cs="Calibri"/>
                <w:color w:val="000000"/>
                <w:sz w:val="16"/>
                <w:szCs w:val="16"/>
              </w:rPr>
              <w:t>0</w:t>
            </w:r>
          </w:p>
        </w:tc>
        <w:tc>
          <w:tcPr>
            <w:tcW w:w="515" w:type="dxa"/>
            <w:tcBorders>
              <w:top w:val="single" w:sz="4" w:space="0" w:color="000080"/>
              <w:bottom w:val="single" w:sz="4" w:space="0" w:color="000080"/>
            </w:tcBorders>
            <w:shd w:val="clear" w:color="auto" w:fill="auto"/>
            <w:vAlign w:val="center"/>
          </w:tcPr>
          <w:p w14:paraId="47EA7EFB" w14:textId="77777777" w:rsidR="00061155" w:rsidRDefault="00061155">
            <w:pPr>
              <w:spacing w:line="240" w:lineRule="auto"/>
              <w:ind w:firstLine="0"/>
              <w:jc w:val="center"/>
            </w:pPr>
            <w:r>
              <w:rPr>
                <w:rFonts w:cs="Calibri"/>
                <w:color w:val="000000"/>
                <w:sz w:val="16"/>
                <w:szCs w:val="16"/>
              </w:rPr>
              <w:t>2</w:t>
            </w:r>
          </w:p>
        </w:tc>
        <w:tc>
          <w:tcPr>
            <w:tcW w:w="239" w:type="dxa"/>
            <w:tcBorders>
              <w:top w:val="single" w:sz="4" w:space="0" w:color="000080"/>
              <w:bottom w:val="single" w:sz="4" w:space="0" w:color="000080"/>
            </w:tcBorders>
            <w:shd w:val="clear" w:color="auto" w:fill="auto"/>
            <w:vAlign w:val="center"/>
          </w:tcPr>
          <w:p w14:paraId="0A16304A"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104736D7" w14:textId="77777777" w:rsidR="00061155" w:rsidRDefault="00061155">
            <w:pPr>
              <w:spacing w:line="240" w:lineRule="auto"/>
              <w:ind w:firstLine="0"/>
              <w:jc w:val="center"/>
            </w:pPr>
            <w:r>
              <w:rPr>
                <w:rFonts w:cs="Calibri"/>
                <w:color w:val="000000"/>
                <w:sz w:val="16"/>
                <w:szCs w:val="16"/>
              </w:rPr>
              <w:t>36</w:t>
            </w:r>
          </w:p>
        </w:tc>
      </w:tr>
      <w:tr w:rsidR="00061155" w14:paraId="4B1EE6A2" w14:textId="77777777">
        <w:trPr>
          <w:trHeight w:val="244"/>
        </w:trPr>
        <w:tc>
          <w:tcPr>
            <w:tcW w:w="6231" w:type="dxa"/>
            <w:tcBorders>
              <w:top w:val="single" w:sz="4" w:space="0" w:color="000080"/>
              <w:bottom w:val="single" w:sz="4" w:space="0" w:color="000080"/>
            </w:tcBorders>
            <w:shd w:val="clear" w:color="auto" w:fill="auto"/>
            <w:vAlign w:val="center"/>
          </w:tcPr>
          <w:p w14:paraId="4B8DDA3F" w14:textId="77777777" w:rsidR="00061155" w:rsidRDefault="00061155">
            <w:pPr>
              <w:pStyle w:val="Paragrafoelenco"/>
              <w:numPr>
                <w:ilvl w:val="0"/>
                <w:numId w:val="4"/>
              </w:numPr>
              <w:spacing w:line="240" w:lineRule="auto"/>
            </w:pPr>
            <w:r>
              <w:rPr>
                <w:rFonts w:cs="Calibri"/>
                <w:color w:val="000000"/>
                <w:sz w:val="16"/>
                <w:szCs w:val="16"/>
              </w:rPr>
              <w:t>Hurt someone (for a reason or for free)</w:t>
            </w:r>
          </w:p>
        </w:tc>
        <w:tc>
          <w:tcPr>
            <w:tcW w:w="239" w:type="dxa"/>
            <w:tcBorders>
              <w:top w:val="single" w:sz="4" w:space="0" w:color="000080"/>
              <w:bottom w:val="single" w:sz="4" w:space="0" w:color="000080"/>
            </w:tcBorders>
            <w:shd w:val="clear" w:color="auto" w:fill="auto"/>
          </w:tcPr>
          <w:p w14:paraId="1BFA85DF"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74EE6D76" w14:textId="77777777" w:rsidR="00061155" w:rsidRDefault="00061155">
            <w:pPr>
              <w:spacing w:line="240" w:lineRule="auto"/>
              <w:ind w:firstLine="0"/>
              <w:jc w:val="center"/>
            </w:pPr>
            <w:r>
              <w:rPr>
                <w:rFonts w:cs="Calibri"/>
                <w:color w:val="000000"/>
                <w:sz w:val="16"/>
                <w:szCs w:val="16"/>
              </w:rPr>
              <w:t>0</w:t>
            </w:r>
          </w:p>
        </w:tc>
        <w:tc>
          <w:tcPr>
            <w:tcW w:w="640" w:type="dxa"/>
            <w:tcBorders>
              <w:top w:val="single" w:sz="4" w:space="0" w:color="000080"/>
              <w:bottom w:val="single" w:sz="4" w:space="0" w:color="000080"/>
            </w:tcBorders>
            <w:shd w:val="clear" w:color="auto" w:fill="auto"/>
            <w:vAlign w:val="center"/>
          </w:tcPr>
          <w:p w14:paraId="79EA4392" w14:textId="77777777" w:rsidR="00061155" w:rsidRDefault="00061155">
            <w:pPr>
              <w:spacing w:line="240" w:lineRule="auto"/>
              <w:ind w:firstLine="0"/>
              <w:jc w:val="center"/>
            </w:pPr>
            <w:r>
              <w:rPr>
                <w:rFonts w:cs="Calibri"/>
                <w:color w:val="000000"/>
                <w:sz w:val="16"/>
                <w:szCs w:val="16"/>
              </w:rPr>
              <w:t>0</w:t>
            </w:r>
          </w:p>
        </w:tc>
        <w:tc>
          <w:tcPr>
            <w:tcW w:w="669" w:type="dxa"/>
            <w:tcBorders>
              <w:top w:val="single" w:sz="4" w:space="0" w:color="000080"/>
              <w:bottom w:val="single" w:sz="4" w:space="0" w:color="000080"/>
            </w:tcBorders>
            <w:shd w:val="clear" w:color="auto" w:fill="auto"/>
            <w:vAlign w:val="center"/>
          </w:tcPr>
          <w:p w14:paraId="2B2F340C" w14:textId="77777777" w:rsidR="00061155" w:rsidRDefault="00061155">
            <w:pPr>
              <w:spacing w:line="240" w:lineRule="auto"/>
              <w:ind w:firstLine="0"/>
              <w:jc w:val="center"/>
            </w:pPr>
            <w:r>
              <w:rPr>
                <w:rFonts w:cs="Calibri"/>
                <w:color w:val="000000"/>
                <w:sz w:val="16"/>
                <w:szCs w:val="16"/>
              </w:rPr>
              <w:t>3</w:t>
            </w:r>
          </w:p>
        </w:tc>
        <w:tc>
          <w:tcPr>
            <w:tcW w:w="616" w:type="dxa"/>
            <w:tcBorders>
              <w:top w:val="single" w:sz="4" w:space="0" w:color="000080"/>
              <w:bottom w:val="single" w:sz="4" w:space="0" w:color="000080"/>
            </w:tcBorders>
            <w:shd w:val="clear" w:color="auto" w:fill="auto"/>
            <w:vAlign w:val="center"/>
          </w:tcPr>
          <w:p w14:paraId="4CEC7B83" w14:textId="77777777" w:rsidR="00061155" w:rsidRDefault="00061155">
            <w:pPr>
              <w:spacing w:line="240" w:lineRule="auto"/>
              <w:ind w:firstLine="0"/>
              <w:jc w:val="center"/>
            </w:pPr>
            <w:r>
              <w:rPr>
                <w:rFonts w:cs="Calibri"/>
                <w:color w:val="000000"/>
                <w:sz w:val="16"/>
                <w:szCs w:val="16"/>
              </w:rPr>
              <w:t>0</w:t>
            </w:r>
          </w:p>
        </w:tc>
        <w:tc>
          <w:tcPr>
            <w:tcW w:w="463" w:type="dxa"/>
            <w:tcBorders>
              <w:top w:val="single" w:sz="4" w:space="0" w:color="000080"/>
              <w:bottom w:val="single" w:sz="4" w:space="0" w:color="000080"/>
            </w:tcBorders>
            <w:shd w:val="clear" w:color="auto" w:fill="auto"/>
            <w:vAlign w:val="center"/>
          </w:tcPr>
          <w:p w14:paraId="274B318D" w14:textId="77777777" w:rsidR="00061155" w:rsidRDefault="00061155">
            <w:pPr>
              <w:spacing w:line="240" w:lineRule="auto"/>
              <w:ind w:firstLine="0"/>
              <w:jc w:val="center"/>
            </w:pPr>
            <w:r>
              <w:rPr>
                <w:rFonts w:cs="Calibri"/>
                <w:color w:val="000000"/>
                <w:sz w:val="16"/>
                <w:szCs w:val="16"/>
              </w:rPr>
              <w:t>1</w:t>
            </w:r>
          </w:p>
        </w:tc>
        <w:tc>
          <w:tcPr>
            <w:tcW w:w="546" w:type="dxa"/>
            <w:tcBorders>
              <w:top w:val="single" w:sz="4" w:space="0" w:color="000080"/>
              <w:bottom w:val="single" w:sz="4" w:space="0" w:color="000080"/>
            </w:tcBorders>
            <w:shd w:val="clear" w:color="auto" w:fill="auto"/>
            <w:vAlign w:val="center"/>
          </w:tcPr>
          <w:p w14:paraId="0AB8A35A" w14:textId="77777777" w:rsidR="00061155" w:rsidRDefault="00061155">
            <w:pPr>
              <w:spacing w:line="240" w:lineRule="auto"/>
              <w:ind w:firstLine="0"/>
              <w:jc w:val="center"/>
            </w:pPr>
            <w:r>
              <w:rPr>
                <w:rFonts w:cs="Calibri"/>
                <w:color w:val="000000"/>
                <w:sz w:val="16"/>
                <w:szCs w:val="16"/>
              </w:rPr>
              <w:t>4</w:t>
            </w:r>
          </w:p>
        </w:tc>
        <w:tc>
          <w:tcPr>
            <w:tcW w:w="239" w:type="dxa"/>
            <w:tcBorders>
              <w:top w:val="single" w:sz="4" w:space="0" w:color="000080"/>
              <w:bottom w:val="single" w:sz="4" w:space="0" w:color="000080"/>
            </w:tcBorders>
            <w:shd w:val="clear" w:color="auto" w:fill="auto"/>
            <w:vAlign w:val="center"/>
          </w:tcPr>
          <w:p w14:paraId="685F5EDA"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2DC6C303" w14:textId="77777777" w:rsidR="00061155" w:rsidRDefault="00061155">
            <w:pPr>
              <w:spacing w:line="240" w:lineRule="auto"/>
              <w:ind w:firstLine="0"/>
              <w:jc w:val="center"/>
            </w:pPr>
            <w:r>
              <w:rPr>
                <w:rFonts w:cs="Calibri"/>
                <w:color w:val="000000"/>
                <w:sz w:val="16"/>
                <w:szCs w:val="16"/>
              </w:rPr>
              <w:t>7</w:t>
            </w:r>
          </w:p>
        </w:tc>
        <w:tc>
          <w:tcPr>
            <w:tcW w:w="609" w:type="dxa"/>
            <w:tcBorders>
              <w:top w:val="single" w:sz="4" w:space="0" w:color="000080"/>
              <w:bottom w:val="single" w:sz="4" w:space="0" w:color="000080"/>
            </w:tcBorders>
            <w:shd w:val="clear" w:color="auto" w:fill="auto"/>
            <w:vAlign w:val="center"/>
          </w:tcPr>
          <w:p w14:paraId="3D34208F" w14:textId="77777777" w:rsidR="00061155" w:rsidRDefault="00061155">
            <w:pPr>
              <w:spacing w:line="240" w:lineRule="auto"/>
              <w:ind w:firstLine="0"/>
              <w:jc w:val="center"/>
            </w:pPr>
            <w:r>
              <w:rPr>
                <w:rFonts w:cs="Calibri"/>
                <w:color w:val="000000"/>
                <w:sz w:val="16"/>
                <w:szCs w:val="16"/>
              </w:rPr>
              <w:t>5</w:t>
            </w:r>
          </w:p>
        </w:tc>
        <w:tc>
          <w:tcPr>
            <w:tcW w:w="638" w:type="dxa"/>
            <w:tcBorders>
              <w:top w:val="single" w:sz="4" w:space="0" w:color="000080"/>
              <w:bottom w:val="single" w:sz="4" w:space="0" w:color="000080"/>
            </w:tcBorders>
            <w:shd w:val="clear" w:color="auto" w:fill="auto"/>
            <w:vAlign w:val="center"/>
          </w:tcPr>
          <w:p w14:paraId="13D1D8F5" w14:textId="77777777" w:rsidR="00061155" w:rsidRDefault="00061155">
            <w:pPr>
              <w:spacing w:line="240" w:lineRule="auto"/>
              <w:ind w:firstLine="0"/>
              <w:jc w:val="center"/>
            </w:pPr>
            <w:r>
              <w:rPr>
                <w:rFonts w:cs="Calibri"/>
                <w:color w:val="000000"/>
                <w:sz w:val="16"/>
                <w:szCs w:val="16"/>
              </w:rPr>
              <w:t>8</w:t>
            </w:r>
          </w:p>
        </w:tc>
        <w:tc>
          <w:tcPr>
            <w:tcW w:w="586" w:type="dxa"/>
            <w:tcBorders>
              <w:top w:val="single" w:sz="4" w:space="0" w:color="000080"/>
              <w:bottom w:val="single" w:sz="4" w:space="0" w:color="000080"/>
            </w:tcBorders>
            <w:shd w:val="clear" w:color="auto" w:fill="auto"/>
            <w:vAlign w:val="center"/>
          </w:tcPr>
          <w:p w14:paraId="747CDBA9" w14:textId="77777777" w:rsidR="00061155" w:rsidRDefault="00061155">
            <w:pPr>
              <w:spacing w:line="240" w:lineRule="auto"/>
              <w:ind w:firstLine="0"/>
              <w:jc w:val="center"/>
            </w:pPr>
            <w:r>
              <w:rPr>
                <w:rFonts w:cs="Calibri"/>
                <w:color w:val="000000"/>
                <w:sz w:val="16"/>
                <w:szCs w:val="16"/>
              </w:rPr>
              <w:t>21</w:t>
            </w:r>
          </w:p>
        </w:tc>
        <w:tc>
          <w:tcPr>
            <w:tcW w:w="432" w:type="dxa"/>
            <w:tcBorders>
              <w:top w:val="single" w:sz="4" w:space="0" w:color="000080"/>
              <w:bottom w:val="single" w:sz="4" w:space="0" w:color="000080"/>
            </w:tcBorders>
            <w:shd w:val="clear" w:color="auto" w:fill="auto"/>
            <w:vAlign w:val="center"/>
          </w:tcPr>
          <w:p w14:paraId="7503C61F" w14:textId="77777777" w:rsidR="00061155" w:rsidRDefault="00061155">
            <w:pPr>
              <w:spacing w:line="240" w:lineRule="auto"/>
              <w:ind w:firstLine="0"/>
              <w:jc w:val="center"/>
            </w:pPr>
            <w:r>
              <w:rPr>
                <w:rFonts w:cs="Calibri"/>
                <w:color w:val="000000"/>
                <w:sz w:val="16"/>
                <w:szCs w:val="16"/>
              </w:rPr>
              <w:t>2</w:t>
            </w:r>
          </w:p>
        </w:tc>
        <w:tc>
          <w:tcPr>
            <w:tcW w:w="515" w:type="dxa"/>
            <w:tcBorders>
              <w:top w:val="single" w:sz="4" w:space="0" w:color="000080"/>
              <w:bottom w:val="single" w:sz="4" w:space="0" w:color="000080"/>
            </w:tcBorders>
            <w:shd w:val="clear" w:color="auto" w:fill="auto"/>
            <w:vAlign w:val="center"/>
          </w:tcPr>
          <w:p w14:paraId="2CD48A79" w14:textId="77777777" w:rsidR="00061155" w:rsidRDefault="00061155">
            <w:pPr>
              <w:spacing w:line="240" w:lineRule="auto"/>
              <w:ind w:firstLine="0"/>
              <w:jc w:val="center"/>
            </w:pPr>
            <w:r>
              <w:rPr>
                <w:rFonts w:cs="Calibri"/>
                <w:color w:val="000000"/>
                <w:sz w:val="16"/>
                <w:szCs w:val="16"/>
              </w:rPr>
              <w:t>43</w:t>
            </w:r>
          </w:p>
        </w:tc>
        <w:tc>
          <w:tcPr>
            <w:tcW w:w="239" w:type="dxa"/>
            <w:tcBorders>
              <w:top w:val="single" w:sz="4" w:space="0" w:color="000080"/>
              <w:bottom w:val="single" w:sz="4" w:space="0" w:color="000080"/>
            </w:tcBorders>
            <w:shd w:val="clear" w:color="auto" w:fill="auto"/>
            <w:vAlign w:val="center"/>
          </w:tcPr>
          <w:p w14:paraId="70D11D7E"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21656D4D" w14:textId="77777777" w:rsidR="00061155" w:rsidRDefault="00061155">
            <w:pPr>
              <w:spacing w:line="240" w:lineRule="auto"/>
              <w:ind w:firstLine="0"/>
              <w:jc w:val="center"/>
            </w:pPr>
            <w:r>
              <w:rPr>
                <w:rFonts w:cs="Calibri"/>
                <w:color w:val="000000"/>
                <w:sz w:val="16"/>
                <w:szCs w:val="16"/>
              </w:rPr>
              <w:t>47</w:t>
            </w:r>
          </w:p>
        </w:tc>
      </w:tr>
      <w:tr w:rsidR="00061155" w14:paraId="6949C249" w14:textId="77777777">
        <w:trPr>
          <w:trHeight w:val="244"/>
        </w:trPr>
        <w:tc>
          <w:tcPr>
            <w:tcW w:w="6231" w:type="dxa"/>
            <w:tcBorders>
              <w:top w:val="single" w:sz="4" w:space="0" w:color="000080"/>
              <w:bottom w:val="single" w:sz="4" w:space="0" w:color="000080"/>
            </w:tcBorders>
            <w:shd w:val="clear" w:color="auto" w:fill="auto"/>
            <w:vAlign w:val="center"/>
          </w:tcPr>
          <w:p w14:paraId="7B82AF83" w14:textId="77777777" w:rsidR="00061155" w:rsidRDefault="00061155">
            <w:pPr>
              <w:pStyle w:val="Paragrafoelenco"/>
              <w:numPr>
                <w:ilvl w:val="0"/>
                <w:numId w:val="4"/>
              </w:numPr>
              <w:spacing w:line="240" w:lineRule="auto"/>
            </w:pPr>
            <w:r>
              <w:rPr>
                <w:rFonts w:cs="Calibri"/>
                <w:color w:val="000000"/>
                <w:sz w:val="16"/>
                <w:szCs w:val="16"/>
              </w:rPr>
              <w:t>Hide something from someone</w:t>
            </w:r>
          </w:p>
        </w:tc>
        <w:tc>
          <w:tcPr>
            <w:tcW w:w="239" w:type="dxa"/>
            <w:tcBorders>
              <w:top w:val="single" w:sz="4" w:space="0" w:color="000080"/>
              <w:bottom w:val="single" w:sz="4" w:space="0" w:color="000080"/>
            </w:tcBorders>
            <w:shd w:val="clear" w:color="auto" w:fill="auto"/>
          </w:tcPr>
          <w:p w14:paraId="5F942C8C"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527DEFB8" w14:textId="77777777" w:rsidR="00061155" w:rsidRDefault="00061155">
            <w:pPr>
              <w:spacing w:line="240" w:lineRule="auto"/>
              <w:ind w:firstLine="0"/>
              <w:jc w:val="center"/>
            </w:pPr>
            <w:r>
              <w:rPr>
                <w:rFonts w:cs="Calibri"/>
                <w:color w:val="000000"/>
                <w:sz w:val="16"/>
                <w:szCs w:val="16"/>
              </w:rPr>
              <w:t>0</w:t>
            </w:r>
          </w:p>
        </w:tc>
        <w:tc>
          <w:tcPr>
            <w:tcW w:w="640" w:type="dxa"/>
            <w:tcBorders>
              <w:top w:val="single" w:sz="4" w:space="0" w:color="000080"/>
              <w:bottom w:val="single" w:sz="4" w:space="0" w:color="000080"/>
            </w:tcBorders>
            <w:shd w:val="clear" w:color="auto" w:fill="auto"/>
            <w:vAlign w:val="center"/>
          </w:tcPr>
          <w:p w14:paraId="44623F29" w14:textId="77777777" w:rsidR="00061155" w:rsidRDefault="00061155">
            <w:pPr>
              <w:spacing w:line="240" w:lineRule="auto"/>
              <w:ind w:firstLine="0"/>
              <w:jc w:val="center"/>
            </w:pPr>
            <w:r>
              <w:rPr>
                <w:rFonts w:cs="Calibri"/>
                <w:color w:val="000000"/>
                <w:sz w:val="16"/>
                <w:szCs w:val="16"/>
              </w:rPr>
              <w:t>2</w:t>
            </w:r>
          </w:p>
        </w:tc>
        <w:tc>
          <w:tcPr>
            <w:tcW w:w="669" w:type="dxa"/>
            <w:tcBorders>
              <w:top w:val="single" w:sz="4" w:space="0" w:color="000080"/>
              <w:bottom w:val="single" w:sz="4" w:space="0" w:color="000080"/>
            </w:tcBorders>
            <w:shd w:val="clear" w:color="auto" w:fill="auto"/>
            <w:vAlign w:val="center"/>
          </w:tcPr>
          <w:p w14:paraId="081DCF28" w14:textId="77777777" w:rsidR="00061155" w:rsidRDefault="00061155">
            <w:pPr>
              <w:spacing w:line="240" w:lineRule="auto"/>
              <w:ind w:firstLine="0"/>
              <w:jc w:val="center"/>
            </w:pPr>
            <w:r>
              <w:rPr>
                <w:rFonts w:cs="Calibri"/>
                <w:color w:val="000000"/>
                <w:sz w:val="16"/>
                <w:szCs w:val="16"/>
              </w:rPr>
              <w:t>0</w:t>
            </w:r>
          </w:p>
        </w:tc>
        <w:tc>
          <w:tcPr>
            <w:tcW w:w="616" w:type="dxa"/>
            <w:tcBorders>
              <w:top w:val="single" w:sz="4" w:space="0" w:color="000080"/>
              <w:bottom w:val="single" w:sz="4" w:space="0" w:color="000080"/>
            </w:tcBorders>
            <w:shd w:val="clear" w:color="auto" w:fill="auto"/>
            <w:vAlign w:val="center"/>
          </w:tcPr>
          <w:p w14:paraId="7AA0DB0A" w14:textId="77777777" w:rsidR="00061155" w:rsidRDefault="00061155">
            <w:pPr>
              <w:spacing w:line="240" w:lineRule="auto"/>
              <w:ind w:firstLine="0"/>
              <w:jc w:val="center"/>
            </w:pPr>
            <w:r>
              <w:rPr>
                <w:rFonts w:cs="Calibri"/>
                <w:color w:val="000000"/>
                <w:sz w:val="16"/>
                <w:szCs w:val="16"/>
              </w:rPr>
              <w:t>1</w:t>
            </w:r>
          </w:p>
        </w:tc>
        <w:tc>
          <w:tcPr>
            <w:tcW w:w="463" w:type="dxa"/>
            <w:tcBorders>
              <w:top w:val="single" w:sz="4" w:space="0" w:color="000080"/>
              <w:bottom w:val="single" w:sz="4" w:space="0" w:color="000080"/>
            </w:tcBorders>
            <w:shd w:val="clear" w:color="auto" w:fill="auto"/>
            <w:vAlign w:val="center"/>
          </w:tcPr>
          <w:p w14:paraId="0800009A"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0323D211" w14:textId="77777777" w:rsidR="00061155" w:rsidRDefault="00061155">
            <w:pPr>
              <w:spacing w:line="240" w:lineRule="auto"/>
              <w:ind w:firstLine="0"/>
              <w:jc w:val="center"/>
            </w:pPr>
            <w:r>
              <w:rPr>
                <w:rFonts w:cs="Calibri"/>
                <w:color w:val="000000"/>
                <w:sz w:val="16"/>
                <w:szCs w:val="16"/>
              </w:rPr>
              <w:t>3</w:t>
            </w:r>
          </w:p>
        </w:tc>
        <w:tc>
          <w:tcPr>
            <w:tcW w:w="239" w:type="dxa"/>
            <w:tcBorders>
              <w:top w:val="single" w:sz="4" w:space="0" w:color="000080"/>
              <w:bottom w:val="single" w:sz="4" w:space="0" w:color="000080"/>
            </w:tcBorders>
            <w:shd w:val="clear" w:color="auto" w:fill="auto"/>
            <w:vAlign w:val="center"/>
          </w:tcPr>
          <w:p w14:paraId="103E798C"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47C99926" w14:textId="77777777" w:rsidR="00061155" w:rsidRDefault="00061155">
            <w:pPr>
              <w:spacing w:line="240" w:lineRule="auto"/>
              <w:ind w:firstLine="0"/>
              <w:jc w:val="center"/>
            </w:pPr>
            <w:r>
              <w:rPr>
                <w:rFonts w:cs="Calibri"/>
                <w:color w:val="000000"/>
                <w:sz w:val="16"/>
                <w:szCs w:val="16"/>
              </w:rPr>
              <w:t>5</w:t>
            </w:r>
          </w:p>
        </w:tc>
        <w:tc>
          <w:tcPr>
            <w:tcW w:w="609" w:type="dxa"/>
            <w:tcBorders>
              <w:top w:val="single" w:sz="4" w:space="0" w:color="000080"/>
              <w:bottom w:val="single" w:sz="4" w:space="0" w:color="000080"/>
            </w:tcBorders>
            <w:shd w:val="clear" w:color="auto" w:fill="auto"/>
            <w:vAlign w:val="center"/>
          </w:tcPr>
          <w:p w14:paraId="1C051482" w14:textId="77777777" w:rsidR="00061155" w:rsidRDefault="00061155">
            <w:pPr>
              <w:spacing w:line="240" w:lineRule="auto"/>
              <w:ind w:firstLine="0"/>
              <w:jc w:val="center"/>
            </w:pPr>
            <w:r>
              <w:rPr>
                <w:rFonts w:cs="Calibri"/>
                <w:color w:val="000000"/>
                <w:sz w:val="16"/>
                <w:szCs w:val="16"/>
              </w:rPr>
              <w:t>2</w:t>
            </w:r>
          </w:p>
        </w:tc>
        <w:tc>
          <w:tcPr>
            <w:tcW w:w="638" w:type="dxa"/>
            <w:tcBorders>
              <w:top w:val="single" w:sz="4" w:space="0" w:color="000080"/>
              <w:bottom w:val="single" w:sz="4" w:space="0" w:color="000080"/>
            </w:tcBorders>
            <w:shd w:val="clear" w:color="auto" w:fill="auto"/>
            <w:vAlign w:val="center"/>
          </w:tcPr>
          <w:p w14:paraId="09F08091" w14:textId="77777777" w:rsidR="00061155" w:rsidRDefault="00061155">
            <w:pPr>
              <w:spacing w:line="240" w:lineRule="auto"/>
              <w:ind w:firstLine="0"/>
              <w:jc w:val="center"/>
            </w:pPr>
            <w:r>
              <w:rPr>
                <w:rFonts w:cs="Calibri"/>
                <w:color w:val="000000"/>
                <w:sz w:val="16"/>
                <w:szCs w:val="16"/>
              </w:rPr>
              <w:t>23</w:t>
            </w:r>
          </w:p>
        </w:tc>
        <w:tc>
          <w:tcPr>
            <w:tcW w:w="586" w:type="dxa"/>
            <w:tcBorders>
              <w:top w:val="single" w:sz="4" w:space="0" w:color="000080"/>
              <w:bottom w:val="single" w:sz="4" w:space="0" w:color="000080"/>
            </w:tcBorders>
            <w:shd w:val="clear" w:color="auto" w:fill="auto"/>
            <w:vAlign w:val="center"/>
          </w:tcPr>
          <w:p w14:paraId="6A80FD23" w14:textId="77777777" w:rsidR="00061155" w:rsidRDefault="00061155">
            <w:pPr>
              <w:spacing w:line="240" w:lineRule="auto"/>
              <w:ind w:firstLine="0"/>
              <w:jc w:val="center"/>
            </w:pPr>
            <w:r>
              <w:rPr>
                <w:rFonts w:cs="Calibri"/>
                <w:color w:val="000000"/>
                <w:sz w:val="16"/>
                <w:szCs w:val="16"/>
              </w:rPr>
              <w:t>8</w:t>
            </w:r>
          </w:p>
        </w:tc>
        <w:tc>
          <w:tcPr>
            <w:tcW w:w="432" w:type="dxa"/>
            <w:tcBorders>
              <w:top w:val="single" w:sz="4" w:space="0" w:color="000080"/>
              <w:bottom w:val="single" w:sz="4" w:space="0" w:color="000080"/>
            </w:tcBorders>
            <w:shd w:val="clear" w:color="auto" w:fill="auto"/>
            <w:vAlign w:val="center"/>
          </w:tcPr>
          <w:p w14:paraId="717C05F9" w14:textId="77777777" w:rsidR="00061155" w:rsidRDefault="00061155">
            <w:pPr>
              <w:spacing w:line="240" w:lineRule="auto"/>
              <w:ind w:firstLine="0"/>
              <w:jc w:val="center"/>
            </w:pPr>
            <w:r>
              <w:rPr>
                <w:rFonts w:cs="Calibri"/>
                <w:color w:val="000000"/>
                <w:sz w:val="16"/>
                <w:szCs w:val="16"/>
              </w:rPr>
              <w:t>4</w:t>
            </w:r>
          </w:p>
        </w:tc>
        <w:tc>
          <w:tcPr>
            <w:tcW w:w="515" w:type="dxa"/>
            <w:tcBorders>
              <w:top w:val="single" w:sz="4" w:space="0" w:color="000080"/>
              <w:bottom w:val="single" w:sz="4" w:space="0" w:color="000080"/>
            </w:tcBorders>
            <w:shd w:val="clear" w:color="auto" w:fill="auto"/>
            <w:vAlign w:val="center"/>
          </w:tcPr>
          <w:p w14:paraId="3DFE0EA1" w14:textId="77777777" w:rsidR="00061155" w:rsidRDefault="00061155">
            <w:pPr>
              <w:spacing w:line="240" w:lineRule="auto"/>
              <w:ind w:firstLine="0"/>
              <w:jc w:val="center"/>
            </w:pPr>
            <w:r>
              <w:rPr>
                <w:rFonts w:cs="Calibri"/>
                <w:color w:val="000000"/>
                <w:sz w:val="16"/>
                <w:szCs w:val="16"/>
              </w:rPr>
              <w:t>42</w:t>
            </w:r>
          </w:p>
        </w:tc>
        <w:tc>
          <w:tcPr>
            <w:tcW w:w="239" w:type="dxa"/>
            <w:tcBorders>
              <w:top w:val="single" w:sz="4" w:space="0" w:color="000080"/>
              <w:bottom w:val="single" w:sz="4" w:space="0" w:color="000080"/>
            </w:tcBorders>
            <w:shd w:val="clear" w:color="auto" w:fill="auto"/>
            <w:vAlign w:val="center"/>
          </w:tcPr>
          <w:p w14:paraId="568402FD"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21738F36" w14:textId="77777777" w:rsidR="00061155" w:rsidRDefault="00061155">
            <w:pPr>
              <w:spacing w:line="240" w:lineRule="auto"/>
              <w:ind w:firstLine="0"/>
              <w:jc w:val="center"/>
            </w:pPr>
            <w:r>
              <w:rPr>
                <w:rFonts w:cs="Calibri"/>
                <w:color w:val="000000"/>
                <w:sz w:val="16"/>
                <w:szCs w:val="16"/>
              </w:rPr>
              <w:t>45</w:t>
            </w:r>
          </w:p>
        </w:tc>
      </w:tr>
      <w:tr w:rsidR="00061155" w14:paraId="2C6A150D" w14:textId="77777777">
        <w:trPr>
          <w:trHeight w:val="244"/>
        </w:trPr>
        <w:tc>
          <w:tcPr>
            <w:tcW w:w="6231" w:type="dxa"/>
            <w:tcBorders>
              <w:top w:val="single" w:sz="4" w:space="0" w:color="000080"/>
              <w:bottom w:val="single" w:sz="4" w:space="0" w:color="000080"/>
            </w:tcBorders>
            <w:shd w:val="clear" w:color="auto" w:fill="auto"/>
            <w:vAlign w:val="center"/>
          </w:tcPr>
          <w:p w14:paraId="4DAF6926" w14:textId="77777777" w:rsidR="00061155" w:rsidRDefault="00061155">
            <w:pPr>
              <w:pStyle w:val="Paragrafoelenco"/>
              <w:numPr>
                <w:ilvl w:val="0"/>
                <w:numId w:val="4"/>
              </w:numPr>
              <w:spacing w:line="240" w:lineRule="auto"/>
            </w:pPr>
            <w:r>
              <w:rPr>
                <w:rFonts w:cs="Calibri"/>
                <w:color w:val="000000"/>
                <w:sz w:val="16"/>
                <w:szCs w:val="16"/>
              </w:rPr>
              <w:t>Compliance with standards and rules</w:t>
            </w:r>
          </w:p>
        </w:tc>
        <w:tc>
          <w:tcPr>
            <w:tcW w:w="239" w:type="dxa"/>
            <w:tcBorders>
              <w:top w:val="single" w:sz="4" w:space="0" w:color="000080"/>
              <w:bottom w:val="single" w:sz="4" w:space="0" w:color="000080"/>
            </w:tcBorders>
            <w:shd w:val="clear" w:color="auto" w:fill="auto"/>
          </w:tcPr>
          <w:p w14:paraId="5D61AF98"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079A3D6D" w14:textId="77777777" w:rsidR="00061155" w:rsidRDefault="00061155">
            <w:pPr>
              <w:spacing w:line="240" w:lineRule="auto"/>
              <w:ind w:firstLine="0"/>
              <w:jc w:val="center"/>
            </w:pPr>
            <w:r>
              <w:rPr>
                <w:rFonts w:cs="Calibri"/>
                <w:color w:val="000000"/>
                <w:sz w:val="16"/>
                <w:szCs w:val="16"/>
              </w:rPr>
              <w:t>2</w:t>
            </w:r>
          </w:p>
        </w:tc>
        <w:tc>
          <w:tcPr>
            <w:tcW w:w="640" w:type="dxa"/>
            <w:tcBorders>
              <w:top w:val="single" w:sz="4" w:space="0" w:color="000080"/>
              <w:bottom w:val="single" w:sz="4" w:space="0" w:color="000080"/>
            </w:tcBorders>
            <w:shd w:val="clear" w:color="auto" w:fill="auto"/>
            <w:vAlign w:val="center"/>
          </w:tcPr>
          <w:p w14:paraId="433344F5" w14:textId="77777777" w:rsidR="00061155" w:rsidRDefault="00061155">
            <w:pPr>
              <w:spacing w:line="240" w:lineRule="auto"/>
              <w:ind w:firstLine="0"/>
              <w:jc w:val="center"/>
            </w:pPr>
            <w:r>
              <w:rPr>
                <w:rFonts w:cs="Calibri"/>
                <w:color w:val="000000"/>
                <w:sz w:val="16"/>
                <w:szCs w:val="16"/>
              </w:rPr>
              <w:t>15</w:t>
            </w:r>
          </w:p>
        </w:tc>
        <w:tc>
          <w:tcPr>
            <w:tcW w:w="669" w:type="dxa"/>
            <w:tcBorders>
              <w:top w:val="single" w:sz="4" w:space="0" w:color="000080"/>
              <w:bottom w:val="single" w:sz="4" w:space="0" w:color="000080"/>
            </w:tcBorders>
            <w:shd w:val="clear" w:color="auto" w:fill="auto"/>
            <w:vAlign w:val="center"/>
          </w:tcPr>
          <w:p w14:paraId="20E933FC" w14:textId="77777777" w:rsidR="00061155" w:rsidRDefault="00061155">
            <w:pPr>
              <w:spacing w:line="240" w:lineRule="auto"/>
              <w:ind w:firstLine="0"/>
              <w:jc w:val="center"/>
            </w:pPr>
            <w:r>
              <w:rPr>
                <w:rFonts w:cs="Calibri"/>
                <w:color w:val="000000"/>
                <w:sz w:val="16"/>
                <w:szCs w:val="16"/>
              </w:rPr>
              <w:t>1</w:t>
            </w:r>
          </w:p>
        </w:tc>
        <w:tc>
          <w:tcPr>
            <w:tcW w:w="616" w:type="dxa"/>
            <w:tcBorders>
              <w:top w:val="single" w:sz="4" w:space="0" w:color="000080"/>
              <w:bottom w:val="single" w:sz="4" w:space="0" w:color="000080"/>
            </w:tcBorders>
            <w:shd w:val="clear" w:color="auto" w:fill="auto"/>
            <w:vAlign w:val="center"/>
          </w:tcPr>
          <w:p w14:paraId="2D7C213E" w14:textId="77777777" w:rsidR="00061155" w:rsidRDefault="00061155">
            <w:pPr>
              <w:spacing w:line="240" w:lineRule="auto"/>
              <w:ind w:firstLine="0"/>
              <w:jc w:val="center"/>
            </w:pPr>
            <w:r>
              <w:rPr>
                <w:rFonts w:cs="Calibri"/>
                <w:color w:val="000000"/>
                <w:sz w:val="16"/>
                <w:szCs w:val="16"/>
              </w:rPr>
              <w:t>5</w:t>
            </w:r>
          </w:p>
        </w:tc>
        <w:tc>
          <w:tcPr>
            <w:tcW w:w="463" w:type="dxa"/>
            <w:tcBorders>
              <w:top w:val="single" w:sz="4" w:space="0" w:color="000080"/>
              <w:bottom w:val="single" w:sz="4" w:space="0" w:color="000080"/>
            </w:tcBorders>
            <w:shd w:val="clear" w:color="auto" w:fill="auto"/>
            <w:vAlign w:val="center"/>
          </w:tcPr>
          <w:p w14:paraId="0E140112" w14:textId="77777777" w:rsidR="00061155" w:rsidRDefault="00061155">
            <w:pPr>
              <w:spacing w:line="240" w:lineRule="auto"/>
              <w:ind w:firstLine="0"/>
              <w:jc w:val="center"/>
            </w:pPr>
            <w:r>
              <w:rPr>
                <w:rFonts w:cs="Calibri"/>
                <w:color w:val="000000"/>
                <w:sz w:val="16"/>
                <w:szCs w:val="16"/>
              </w:rPr>
              <w:t>2</w:t>
            </w:r>
          </w:p>
        </w:tc>
        <w:tc>
          <w:tcPr>
            <w:tcW w:w="546" w:type="dxa"/>
            <w:tcBorders>
              <w:top w:val="single" w:sz="4" w:space="0" w:color="000080"/>
              <w:bottom w:val="single" w:sz="4" w:space="0" w:color="000080"/>
            </w:tcBorders>
            <w:shd w:val="clear" w:color="auto" w:fill="auto"/>
            <w:vAlign w:val="center"/>
          </w:tcPr>
          <w:p w14:paraId="3079D633" w14:textId="77777777" w:rsidR="00061155" w:rsidRDefault="00061155">
            <w:pPr>
              <w:spacing w:line="240" w:lineRule="auto"/>
              <w:ind w:firstLine="0"/>
              <w:jc w:val="center"/>
            </w:pPr>
            <w:r>
              <w:rPr>
                <w:rFonts w:cs="Calibri"/>
                <w:color w:val="000000"/>
                <w:sz w:val="16"/>
                <w:szCs w:val="16"/>
              </w:rPr>
              <w:t>25</w:t>
            </w:r>
          </w:p>
        </w:tc>
        <w:tc>
          <w:tcPr>
            <w:tcW w:w="239" w:type="dxa"/>
            <w:tcBorders>
              <w:top w:val="single" w:sz="4" w:space="0" w:color="000080"/>
              <w:bottom w:val="single" w:sz="4" w:space="0" w:color="000080"/>
            </w:tcBorders>
            <w:shd w:val="clear" w:color="auto" w:fill="auto"/>
            <w:vAlign w:val="center"/>
          </w:tcPr>
          <w:p w14:paraId="4D1B2104"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24CE8307" w14:textId="77777777" w:rsidR="00061155" w:rsidRDefault="00061155">
            <w:pPr>
              <w:spacing w:line="240" w:lineRule="auto"/>
              <w:ind w:firstLine="0"/>
              <w:jc w:val="center"/>
            </w:pPr>
            <w:r>
              <w:rPr>
                <w:rFonts w:cs="Calibri"/>
                <w:color w:val="000000"/>
                <w:sz w:val="16"/>
                <w:szCs w:val="16"/>
              </w:rPr>
              <w:t>0</w:t>
            </w:r>
          </w:p>
        </w:tc>
        <w:tc>
          <w:tcPr>
            <w:tcW w:w="609" w:type="dxa"/>
            <w:tcBorders>
              <w:top w:val="single" w:sz="4" w:space="0" w:color="000080"/>
              <w:bottom w:val="single" w:sz="4" w:space="0" w:color="000080"/>
            </w:tcBorders>
            <w:shd w:val="clear" w:color="auto" w:fill="auto"/>
            <w:vAlign w:val="center"/>
          </w:tcPr>
          <w:p w14:paraId="21855E97" w14:textId="77777777" w:rsidR="00061155" w:rsidRDefault="00061155">
            <w:pPr>
              <w:spacing w:line="240" w:lineRule="auto"/>
              <w:ind w:firstLine="0"/>
              <w:jc w:val="center"/>
            </w:pPr>
            <w:r>
              <w:rPr>
                <w:rFonts w:cs="Calibri"/>
                <w:color w:val="000000"/>
                <w:sz w:val="16"/>
                <w:szCs w:val="16"/>
              </w:rPr>
              <w:t>0</w:t>
            </w:r>
          </w:p>
        </w:tc>
        <w:tc>
          <w:tcPr>
            <w:tcW w:w="638" w:type="dxa"/>
            <w:tcBorders>
              <w:top w:val="single" w:sz="4" w:space="0" w:color="000080"/>
              <w:bottom w:val="single" w:sz="4" w:space="0" w:color="000080"/>
            </w:tcBorders>
            <w:shd w:val="clear" w:color="auto" w:fill="auto"/>
            <w:vAlign w:val="center"/>
          </w:tcPr>
          <w:p w14:paraId="148A7F6E" w14:textId="77777777" w:rsidR="00061155" w:rsidRDefault="00061155">
            <w:pPr>
              <w:spacing w:line="240" w:lineRule="auto"/>
              <w:ind w:firstLine="0"/>
              <w:jc w:val="center"/>
            </w:pPr>
            <w:r>
              <w:rPr>
                <w:rFonts w:cs="Calibri"/>
                <w:color w:val="000000"/>
                <w:sz w:val="16"/>
                <w:szCs w:val="16"/>
              </w:rPr>
              <w:t>0</w:t>
            </w:r>
          </w:p>
        </w:tc>
        <w:tc>
          <w:tcPr>
            <w:tcW w:w="586" w:type="dxa"/>
            <w:tcBorders>
              <w:top w:val="single" w:sz="4" w:space="0" w:color="000080"/>
              <w:bottom w:val="single" w:sz="4" w:space="0" w:color="000080"/>
            </w:tcBorders>
            <w:shd w:val="clear" w:color="auto" w:fill="auto"/>
            <w:vAlign w:val="center"/>
          </w:tcPr>
          <w:p w14:paraId="204757C2" w14:textId="77777777" w:rsidR="00061155" w:rsidRDefault="00061155">
            <w:pPr>
              <w:spacing w:line="240" w:lineRule="auto"/>
              <w:ind w:firstLine="0"/>
              <w:jc w:val="center"/>
            </w:pPr>
            <w:r>
              <w:rPr>
                <w:rFonts w:cs="Calibri"/>
                <w:color w:val="000000"/>
                <w:sz w:val="16"/>
                <w:szCs w:val="16"/>
              </w:rPr>
              <w:t>0</w:t>
            </w:r>
          </w:p>
        </w:tc>
        <w:tc>
          <w:tcPr>
            <w:tcW w:w="432" w:type="dxa"/>
            <w:tcBorders>
              <w:top w:val="single" w:sz="4" w:space="0" w:color="000080"/>
              <w:bottom w:val="single" w:sz="4" w:space="0" w:color="000080"/>
            </w:tcBorders>
            <w:shd w:val="clear" w:color="auto" w:fill="auto"/>
            <w:vAlign w:val="center"/>
          </w:tcPr>
          <w:p w14:paraId="6BFE7B2D" w14:textId="77777777" w:rsidR="00061155" w:rsidRDefault="00061155">
            <w:pPr>
              <w:spacing w:line="240" w:lineRule="auto"/>
              <w:ind w:firstLine="0"/>
              <w:jc w:val="center"/>
            </w:pPr>
            <w:r>
              <w:rPr>
                <w:rFonts w:cs="Calibri"/>
                <w:color w:val="000000"/>
                <w:sz w:val="16"/>
                <w:szCs w:val="16"/>
              </w:rPr>
              <w:t>0</w:t>
            </w:r>
          </w:p>
        </w:tc>
        <w:tc>
          <w:tcPr>
            <w:tcW w:w="515" w:type="dxa"/>
            <w:tcBorders>
              <w:top w:val="single" w:sz="4" w:space="0" w:color="000080"/>
              <w:bottom w:val="single" w:sz="4" w:space="0" w:color="000080"/>
            </w:tcBorders>
            <w:shd w:val="clear" w:color="auto" w:fill="auto"/>
            <w:vAlign w:val="center"/>
          </w:tcPr>
          <w:p w14:paraId="1CC8550D" w14:textId="77777777" w:rsidR="00061155" w:rsidRDefault="00061155">
            <w:pPr>
              <w:spacing w:line="240" w:lineRule="auto"/>
              <w:ind w:firstLine="0"/>
              <w:jc w:val="center"/>
            </w:pPr>
            <w:r>
              <w:rPr>
                <w:rFonts w:cs="Calibri"/>
                <w:color w:val="000000"/>
                <w:sz w:val="16"/>
                <w:szCs w:val="16"/>
              </w:rPr>
              <w:t>0</w:t>
            </w:r>
          </w:p>
        </w:tc>
        <w:tc>
          <w:tcPr>
            <w:tcW w:w="239" w:type="dxa"/>
            <w:tcBorders>
              <w:top w:val="single" w:sz="4" w:space="0" w:color="000080"/>
              <w:bottom w:val="single" w:sz="4" w:space="0" w:color="000080"/>
            </w:tcBorders>
            <w:shd w:val="clear" w:color="auto" w:fill="auto"/>
            <w:vAlign w:val="center"/>
          </w:tcPr>
          <w:p w14:paraId="4C73962F"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09556756" w14:textId="77777777" w:rsidR="00061155" w:rsidRDefault="00061155">
            <w:pPr>
              <w:spacing w:line="240" w:lineRule="auto"/>
              <w:ind w:firstLine="0"/>
              <w:jc w:val="center"/>
            </w:pPr>
            <w:r>
              <w:rPr>
                <w:rFonts w:cs="Calibri"/>
                <w:color w:val="000000"/>
                <w:sz w:val="16"/>
                <w:szCs w:val="16"/>
              </w:rPr>
              <w:t>25</w:t>
            </w:r>
          </w:p>
        </w:tc>
      </w:tr>
      <w:tr w:rsidR="00061155" w14:paraId="3CF65EA6" w14:textId="77777777">
        <w:trPr>
          <w:trHeight w:val="244"/>
        </w:trPr>
        <w:tc>
          <w:tcPr>
            <w:tcW w:w="6231" w:type="dxa"/>
            <w:tcBorders>
              <w:top w:val="single" w:sz="4" w:space="0" w:color="000080"/>
              <w:bottom w:val="single" w:sz="4" w:space="0" w:color="000080"/>
            </w:tcBorders>
            <w:shd w:val="clear" w:color="auto" w:fill="auto"/>
            <w:vAlign w:val="center"/>
          </w:tcPr>
          <w:p w14:paraId="7CB66025" w14:textId="77777777" w:rsidR="00061155" w:rsidRDefault="00061155">
            <w:pPr>
              <w:pStyle w:val="Paragrafoelenco"/>
              <w:numPr>
                <w:ilvl w:val="0"/>
                <w:numId w:val="4"/>
              </w:numPr>
              <w:spacing w:line="240" w:lineRule="auto"/>
            </w:pPr>
            <w:r>
              <w:rPr>
                <w:rFonts w:cs="Calibri"/>
                <w:color w:val="000000"/>
                <w:sz w:val="16"/>
                <w:szCs w:val="16"/>
              </w:rPr>
              <w:t>Rebel, transgress the rules</w:t>
            </w:r>
          </w:p>
        </w:tc>
        <w:tc>
          <w:tcPr>
            <w:tcW w:w="239" w:type="dxa"/>
            <w:tcBorders>
              <w:top w:val="single" w:sz="4" w:space="0" w:color="000080"/>
              <w:bottom w:val="single" w:sz="4" w:space="0" w:color="000080"/>
            </w:tcBorders>
            <w:shd w:val="clear" w:color="auto" w:fill="auto"/>
          </w:tcPr>
          <w:p w14:paraId="7B937621"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6327D895" w14:textId="77777777" w:rsidR="00061155" w:rsidRDefault="00061155">
            <w:pPr>
              <w:spacing w:line="240" w:lineRule="auto"/>
              <w:ind w:firstLine="0"/>
              <w:jc w:val="center"/>
            </w:pPr>
            <w:r>
              <w:rPr>
                <w:rFonts w:cs="Calibri"/>
                <w:color w:val="000000"/>
                <w:sz w:val="16"/>
                <w:szCs w:val="16"/>
              </w:rPr>
              <w:t>0</w:t>
            </w:r>
          </w:p>
        </w:tc>
        <w:tc>
          <w:tcPr>
            <w:tcW w:w="640" w:type="dxa"/>
            <w:tcBorders>
              <w:top w:val="single" w:sz="4" w:space="0" w:color="000080"/>
              <w:bottom w:val="single" w:sz="4" w:space="0" w:color="000080"/>
            </w:tcBorders>
            <w:shd w:val="clear" w:color="auto" w:fill="auto"/>
            <w:vAlign w:val="center"/>
          </w:tcPr>
          <w:p w14:paraId="0AACAB11" w14:textId="77777777" w:rsidR="00061155" w:rsidRDefault="00061155">
            <w:pPr>
              <w:spacing w:line="240" w:lineRule="auto"/>
              <w:ind w:firstLine="0"/>
              <w:jc w:val="center"/>
            </w:pPr>
            <w:r>
              <w:rPr>
                <w:rFonts w:cs="Calibri"/>
                <w:color w:val="000000"/>
                <w:sz w:val="16"/>
                <w:szCs w:val="16"/>
              </w:rPr>
              <w:t>0</w:t>
            </w:r>
          </w:p>
        </w:tc>
        <w:tc>
          <w:tcPr>
            <w:tcW w:w="669" w:type="dxa"/>
            <w:tcBorders>
              <w:top w:val="single" w:sz="4" w:space="0" w:color="000080"/>
              <w:bottom w:val="single" w:sz="4" w:space="0" w:color="000080"/>
            </w:tcBorders>
            <w:shd w:val="clear" w:color="auto" w:fill="auto"/>
            <w:vAlign w:val="center"/>
          </w:tcPr>
          <w:p w14:paraId="1D2B63F9" w14:textId="77777777" w:rsidR="00061155" w:rsidRDefault="00061155">
            <w:pPr>
              <w:spacing w:line="240" w:lineRule="auto"/>
              <w:ind w:firstLine="0"/>
              <w:jc w:val="center"/>
            </w:pPr>
            <w:r>
              <w:rPr>
                <w:rFonts w:cs="Calibri"/>
                <w:color w:val="000000"/>
                <w:sz w:val="16"/>
                <w:szCs w:val="16"/>
              </w:rPr>
              <w:t>0</w:t>
            </w:r>
          </w:p>
        </w:tc>
        <w:tc>
          <w:tcPr>
            <w:tcW w:w="616" w:type="dxa"/>
            <w:tcBorders>
              <w:top w:val="single" w:sz="4" w:space="0" w:color="000080"/>
              <w:bottom w:val="single" w:sz="4" w:space="0" w:color="000080"/>
            </w:tcBorders>
            <w:shd w:val="clear" w:color="auto" w:fill="auto"/>
            <w:vAlign w:val="center"/>
          </w:tcPr>
          <w:p w14:paraId="24A71529" w14:textId="77777777" w:rsidR="00061155" w:rsidRDefault="00061155">
            <w:pPr>
              <w:spacing w:line="240" w:lineRule="auto"/>
              <w:ind w:firstLine="0"/>
              <w:jc w:val="center"/>
            </w:pPr>
            <w:r>
              <w:rPr>
                <w:rFonts w:cs="Calibri"/>
                <w:color w:val="000000"/>
                <w:sz w:val="16"/>
                <w:szCs w:val="16"/>
              </w:rPr>
              <w:t>0</w:t>
            </w:r>
          </w:p>
        </w:tc>
        <w:tc>
          <w:tcPr>
            <w:tcW w:w="463" w:type="dxa"/>
            <w:tcBorders>
              <w:top w:val="single" w:sz="4" w:space="0" w:color="000080"/>
              <w:bottom w:val="single" w:sz="4" w:space="0" w:color="000080"/>
            </w:tcBorders>
            <w:shd w:val="clear" w:color="auto" w:fill="auto"/>
            <w:vAlign w:val="center"/>
          </w:tcPr>
          <w:p w14:paraId="38E3873C"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0BC7CB43" w14:textId="77777777" w:rsidR="00061155" w:rsidRDefault="00061155">
            <w:pPr>
              <w:spacing w:line="240" w:lineRule="auto"/>
              <w:ind w:firstLine="0"/>
              <w:jc w:val="center"/>
            </w:pPr>
            <w:r>
              <w:rPr>
                <w:rFonts w:cs="Calibri"/>
                <w:color w:val="000000"/>
                <w:sz w:val="16"/>
                <w:szCs w:val="16"/>
              </w:rPr>
              <w:t>0</w:t>
            </w:r>
          </w:p>
        </w:tc>
        <w:tc>
          <w:tcPr>
            <w:tcW w:w="239" w:type="dxa"/>
            <w:tcBorders>
              <w:top w:val="single" w:sz="4" w:space="0" w:color="000080"/>
              <w:bottom w:val="single" w:sz="4" w:space="0" w:color="000080"/>
            </w:tcBorders>
            <w:shd w:val="clear" w:color="auto" w:fill="auto"/>
            <w:vAlign w:val="center"/>
          </w:tcPr>
          <w:p w14:paraId="0ACD813D"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08E3C7F9" w14:textId="77777777" w:rsidR="00061155" w:rsidRDefault="00061155">
            <w:pPr>
              <w:spacing w:line="240" w:lineRule="auto"/>
              <w:ind w:firstLine="0"/>
              <w:jc w:val="center"/>
            </w:pPr>
            <w:r>
              <w:rPr>
                <w:rFonts w:cs="Calibri"/>
                <w:color w:val="000000"/>
                <w:sz w:val="16"/>
                <w:szCs w:val="16"/>
              </w:rPr>
              <w:t>2</w:t>
            </w:r>
          </w:p>
        </w:tc>
        <w:tc>
          <w:tcPr>
            <w:tcW w:w="609" w:type="dxa"/>
            <w:tcBorders>
              <w:top w:val="single" w:sz="4" w:space="0" w:color="000080"/>
              <w:bottom w:val="single" w:sz="4" w:space="0" w:color="000080"/>
            </w:tcBorders>
            <w:shd w:val="clear" w:color="auto" w:fill="auto"/>
            <w:vAlign w:val="center"/>
          </w:tcPr>
          <w:p w14:paraId="257B4186" w14:textId="77777777" w:rsidR="00061155" w:rsidRDefault="00061155">
            <w:pPr>
              <w:spacing w:line="240" w:lineRule="auto"/>
              <w:ind w:firstLine="0"/>
              <w:jc w:val="center"/>
            </w:pPr>
            <w:r>
              <w:rPr>
                <w:rFonts w:cs="Calibri"/>
                <w:color w:val="000000"/>
                <w:sz w:val="16"/>
                <w:szCs w:val="16"/>
              </w:rPr>
              <w:t>9</w:t>
            </w:r>
          </w:p>
        </w:tc>
        <w:tc>
          <w:tcPr>
            <w:tcW w:w="638" w:type="dxa"/>
            <w:tcBorders>
              <w:top w:val="single" w:sz="4" w:space="0" w:color="000080"/>
              <w:bottom w:val="single" w:sz="4" w:space="0" w:color="000080"/>
            </w:tcBorders>
            <w:shd w:val="clear" w:color="auto" w:fill="auto"/>
            <w:vAlign w:val="center"/>
          </w:tcPr>
          <w:p w14:paraId="048D6FA6" w14:textId="77777777" w:rsidR="00061155" w:rsidRDefault="00061155">
            <w:pPr>
              <w:spacing w:line="240" w:lineRule="auto"/>
              <w:ind w:firstLine="0"/>
              <w:jc w:val="center"/>
            </w:pPr>
            <w:r>
              <w:rPr>
                <w:rFonts w:cs="Calibri"/>
                <w:color w:val="000000"/>
                <w:sz w:val="16"/>
                <w:szCs w:val="16"/>
              </w:rPr>
              <w:t>3</w:t>
            </w:r>
          </w:p>
        </w:tc>
        <w:tc>
          <w:tcPr>
            <w:tcW w:w="586" w:type="dxa"/>
            <w:tcBorders>
              <w:top w:val="single" w:sz="4" w:space="0" w:color="000080"/>
              <w:bottom w:val="single" w:sz="4" w:space="0" w:color="000080"/>
            </w:tcBorders>
            <w:shd w:val="clear" w:color="auto" w:fill="auto"/>
            <w:vAlign w:val="center"/>
          </w:tcPr>
          <w:p w14:paraId="4100EF19" w14:textId="77777777" w:rsidR="00061155" w:rsidRDefault="00061155">
            <w:pPr>
              <w:spacing w:line="240" w:lineRule="auto"/>
              <w:ind w:firstLine="0"/>
              <w:jc w:val="center"/>
            </w:pPr>
            <w:r>
              <w:rPr>
                <w:rFonts w:cs="Calibri"/>
                <w:color w:val="000000"/>
                <w:sz w:val="16"/>
                <w:szCs w:val="16"/>
              </w:rPr>
              <w:t>9</w:t>
            </w:r>
          </w:p>
        </w:tc>
        <w:tc>
          <w:tcPr>
            <w:tcW w:w="432" w:type="dxa"/>
            <w:tcBorders>
              <w:top w:val="single" w:sz="4" w:space="0" w:color="000080"/>
              <w:bottom w:val="single" w:sz="4" w:space="0" w:color="000080"/>
            </w:tcBorders>
            <w:shd w:val="clear" w:color="auto" w:fill="auto"/>
            <w:vAlign w:val="center"/>
          </w:tcPr>
          <w:p w14:paraId="5BE169F9" w14:textId="77777777" w:rsidR="00061155" w:rsidRDefault="00061155">
            <w:pPr>
              <w:spacing w:line="240" w:lineRule="auto"/>
              <w:ind w:firstLine="0"/>
              <w:jc w:val="center"/>
            </w:pPr>
            <w:r>
              <w:rPr>
                <w:rFonts w:cs="Calibri"/>
                <w:color w:val="000000"/>
                <w:sz w:val="16"/>
                <w:szCs w:val="16"/>
              </w:rPr>
              <w:t>3</w:t>
            </w:r>
          </w:p>
        </w:tc>
        <w:tc>
          <w:tcPr>
            <w:tcW w:w="515" w:type="dxa"/>
            <w:tcBorders>
              <w:top w:val="single" w:sz="4" w:space="0" w:color="000080"/>
              <w:bottom w:val="single" w:sz="4" w:space="0" w:color="000080"/>
            </w:tcBorders>
            <w:shd w:val="clear" w:color="auto" w:fill="auto"/>
            <w:vAlign w:val="center"/>
          </w:tcPr>
          <w:p w14:paraId="71AB51C4" w14:textId="77777777" w:rsidR="00061155" w:rsidRDefault="00061155">
            <w:pPr>
              <w:spacing w:line="240" w:lineRule="auto"/>
              <w:ind w:firstLine="0"/>
              <w:jc w:val="center"/>
            </w:pPr>
            <w:r>
              <w:rPr>
                <w:rFonts w:cs="Calibri"/>
                <w:color w:val="000000"/>
                <w:sz w:val="16"/>
                <w:szCs w:val="16"/>
              </w:rPr>
              <w:t>26</w:t>
            </w:r>
          </w:p>
        </w:tc>
        <w:tc>
          <w:tcPr>
            <w:tcW w:w="239" w:type="dxa"/>
            <w:tcBorders>
              <w:top w:val="single" w:sz="4" w:space="0" w:color="000080"/>
              <w:bottom w:val="single" w:sz="4" w:space="0" w:color="000080"/>
            </w:tcBorders>
            <w:shd w:val="clear" w:color="auto" w:fill="auto"/>
            <w:vAlign w:val="center"/>
          </w:tcPr>
          <w:p w14:paraId="546CC403"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6BA89203" w14:textId="77777777" w:rsidR="00061155" w:rsidRDefault="00061155">
            <w:pPr>
              <w:spacing w:line="240" w:lineRule="auto"/>
              <w:ind w:firstLine="0"/>
              <w:jc w:val="center"/>
            </w:pPr>
            <w:r>
              <w:rPr>
                <w:rFonts w:cs="Calibri"/>
                <w:color w:val="000000"/>
                <w:sz w:val="16"/>
                <w:szCs w:val="16"/>
              </w:rPr>
              <w:t>26</w:t>
            </w:r>
          </w:p>
        </w:tc>
      </w:tr>
      <w:tr w:rsidR="00061155" w14:paraId="273D00D1" w14:textId="77777777">
        <w:trPr>
          <w:trHeight w:val="244"/>
        </w:trPr>
        <w:tc>
          <w:tcPr>
            <w:tcW w:w="6231" w:type="dxa"/>
            <w:tcBorders>
              <w:top w:val="single" w:sz="4" w:space="0" w:color="000080"/>
              <w:bottom w:val="single" w:sz="4" w:space="0" w:color="000080"/>
            </w:tcBorders>
            <w:shd w:val="clear" w:color="auto" w:fill="auto"/>
            <w:vAlign w:val="center"/>
          </w:tcPr>
          <w:p w14:paraId="5299CCF6" w14:textId="77777777" w:rsidR="00061155" w:rsidRDefault="00061155">
            <w:pPr>
              <w:pStyle w:val="Paragrafoelenco"/>
              <w:numPr>
                <w:ilvl w:val="0"/>
                <w:numId w:val="4"/>
              </w:numPr>
              <w:spacing w:line="240" w:lineRule="auto"/>
            </w:pPr>
            <w:r>
              <w:rPr>
                <w:rFonts w:cs="Calibri"/>
                <w:color w:val="000000"/>
                <w:sz w:val="16"/>
                <w:szCs w:val="16"/>
              </w:rPr>
              <w:t>Have control (e.g., on objects or situations, organize)</w:t>
            </w:r>
          </w:p>
        </w:tc>
        <w:tc>
          <w:tcPr>
            <w:tcW w:w="239" w:type="dxa"/>
            <w:tcBorders>
              <w:top w:val="single" w:sz="4" w:space="0" w:color="000080"/>
              <w:bottom w:val="single" w:sz="4" w:space="0" w:color="000080"/>
            </w:tcBorders>
            <w:shd w:val="clear" w:color="auto" w:fill="auto"/>
          </w:tcPr>
          <w:p w14:paraId="7158DE38"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7951F6E9" w14:textId="77777777" w:rsidR="00061155" w:rsidRDefault="00061155">
            <w:pPr>
              <w:spacing w:line="240" w:lineRule="auto"/>
              <w:ind w:firstLine="0"/>
              <w:jc w:val="center"/>
            </w:pPr>
            <w:r>
              <w:rPr>
                <w:rFonts w:cs="Calibri"/>
                <w:color w:val="000000"/>
                <w:sz w:val="16"/>
                <w:szCs w:val="16"/>
              </w:rPr>
              <w:t>1</w:t>
            </w:r>
          </w:p>
        </w:tc>
        <w:tc>
          <w:tcPr>
            <w:tcW w:w="640" w:type="dxa"/>
            <w:tcBorders>
              <w:top w:val="single" w:sz="4" w:space="0" w:color="000080"/>
              <w:bottom w:val="single" w:sz="4" w:space="0" w:color="000080"/>
            </w:tcBorders>
            <w:shd w:val="clear" w:color="auto" w:fill="auto"/>
            <w:vAlign w:val="center"/>
          </w:tcPr>
          <w:p w14:paraId="587A507D" w14:textId="77777777" w:rsidR="00061155" w:rsidRDefault="00061155">
            <w:pPr>
              <w:spacing w:line="240" w:lineRule="auto"/>
              <w:ind w:firstLine="0"/>
              <w:jc w:val="center"/>
            </w:pPr>
            <w:r>
              <w:rPr>
                <w:rFonts w:cs="Calibri"/>
                <w:color w:val="000000"/>
                <w:sz w:val="16"/>
                <w:szCs w:val="16"/>
              </w:rPr>
              <w:t>8</w:t>
            </w:r>
          </w:p>
        </w:tc>
        <w:tc>
          <w:tcPr>
            <w:tcW w:w="669" w:type="dxa"/>
            <w:tcBorders>
              <w:top w:val="single" w:sz="4" w:space="0" w:color="000080"/>
              <w:bottom w:val="single" w:sz="4" w:space="0" w:color="000080"/>
            </w:tcBorders>
            <w:shd w:val="clear" w:color="auto" w:fill="auto"/>
            <w:vAlign w:val="center"/>
          </w:tcPr>
          <w:p w14:paraId="676EB163" w14:textId="77777777" w:rsidR="00061155" w:rsidRDefault="00061155">
            <w:pPr>
              <w:spacing w:line="240" w:lineRule="auto"/>
              <w:ind w:firstLine="0"/>
              <w:jc w:val="center"/>
            </w:pPr>
            <w:r>
              <w:rPr>
                <w:rFonts w:cs="Calibri"/>
                <w:color w:val="000000"/>
                <w:sz w:val="16"/>
                <w:szCs w:val="16"/>
              </w:rPr>
              <w:t>37</w:t>
            </w:r>
          </w:p>
        </w:tc>
        <w:tc>
          <w:tcPr>
            <w:tcW w:w="616" w:type="dxa"/>
            <w:tcBorders>
              <w:top w:val="single" w:sz="4" w:space="0" w:color="000080"/>
              <w:bottom w:val="single" w:sz="4" w:space="0" w:color="000080"/>
            </w:tcBorders>
            <w:shd w:val="clear" w:color="auto" w:fill="auto"/>
            <w:vAlign w:val="center"/>
          </w:tcPr>
          <w:p w14:paraId="1C9804F9" w14:textId="77777777" w:rsidR="00061155" w:rsidRDefault="00061155">
            <w:pPr>
              <w:spacing w:line="240" w:lineRule="auto"/>
              <w:ind w:firstLine="0"/>
              <w:jc w:val="center"/>
            </w:pPr>
            <w:r>
              <w:rPr>
                <w:rFonts w:cs="Calibri"/>
                <w:color w:val="000000"/>
                <w:sz w:val="16"/>
                <w:szCs w:val="16"/>
              </w:rPr>
              <w:t>2</w:t>
            </w:r>
          </w:p>
        </w:tc>
        <w:tc>
          <w:tcPr>
            <w:tcW w:w="463" w:type="dxa"/>
            <w:tcBorders>
              <w:top w:val="single" w:sz="4" w:space="0" w:color="000080"/>
              <w:bottom w:val="single" w:sz="4" w:space="0" w:color="000080"/>
            </w:tcBorders>
            <w:shd w:val="clear" w:color="auto" w:fill="auto"/>
            <w:vAlign w:val="center"/>
          </w:tcPr>
          <w:p w14:paraId="0F038E6A" w14:textId="77777777" w:rsidR="00061155" w:rsidRDefault="00061155">
            <w:pPr>
              <w:spacing w:line="240" w:lineRule="auto"/>
              <w:ind w:firstLine="0"/>
              <w:jc w:val="center"/>
            </w:pPr>
            <w:r>
              <w:rPr>
                <w:rFonts w:cs="Calibri"/>
                <w:color w:val="000000"/>
                <w:sz w:val="16"/>
                <w:szCs w:val="16"/>
              </w:rPr>
              <w:t>6</w:t>
            </w:r>
          </w:p>
        </w:tc>
        <w:tc>
          <w:tcPr>
            <w:tcW w:w="546" w:type="dxa"/>
            <w:tcBorders>
              <w:top w:val="single" w:sz="4" w:space="0" w:color="000080"/>
              <w:bottom w:val="single" w:sz="4" w:space="0" w:color="000080"/>
            </w:tcBorders>
            <w:shd w:val="clear" w:color="auto" w:fill="auto"/>
            <w:vAlign w:val="center"/>
          </w:tcPr>
          <w:p w14:paraId="167B36B3" w14:textId="77777777" w:rsidR="00061155" w:rsidRDefault="00061155">
            <w:pPr>
              <w:spacing w:line="240" w:lineRule="auto"/>
              <w:ind w:firstLine="0"/>
              <w:jc w:val="center"/>
            </w:pPr>
            <w:r>
              <w:rPr>
                <w:rFonts w:cs="Calibri"/>
                <w:color w:val="000000"/>
                <w:sz w:val="16"/>
                <w:szCs w:val="16"/>
              </w:rPr>
              <w:t>54</w:t>
            </w:r>
          </w:p>
        </w:tc>
        <w:tc>
          <w:tcPr>
            <w:tcW w:w="239" w:type="dxa"/>
            <w:tcBorders>
              <w:top w:val="single" w:sz="4" w:space="0" w:color="000080"/>
              <w:bottom w:val="single" w:sz="4" w:space="0" w:color="000080"/>
            </w:tcBorders>
            <w:shd w:val="clear" w:color="auto" w:fill="auto"/>
            <w:vAlign w:val="center"/>
          </w:tcPr>
          <w:p w14:paraId="0FEE41BA"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425C4819" w14:textId="77777777" w:rsidR="00061155" w:rsidRDefault="00061155">
            <w:pPr>
              <w:spacing w:line="240" w:lineRule="auto"/>
              <w:ind w:firstLine="0"/>
              <w:jc w:val="center"/>
            </w:pPr>
            <w:r>
              <w:rPr>
                <w:rFonts w:cs="Calibri"/>
                <w:color w:val="000000"/>
                <w:sz w:val="16"/>
                <w:szCs w:val="16"/>
              </w:rPr>
              <w:t>2</w:t>
            </w:r>
          </w:p>
        </w:tc>
        <w:tc>
          <w:tcPr>
            <w:tcW w:w="609" w:type="dxa"/>
            <w:tcBorders>
              <w:top w:val="single" w:sz="4" w:space="0" w:color="000080"/>
              <w:bottom w:val="single" w:sz="4" w:space="0" w:color="000080"/>
            </w:tcBorders>
            <w:shd w:val="clear" w:color="auto" w:fill="auto"/>
            <w:vAlign w:val="center"/>
          </w:tcPr>
          <w:p w14:paraId="6946C484" w14:textId="77777777" w:rsidR="00061155" w:rsidRDefault="00061155">
            <w:pPr>
              <w:spacing w:line="240" w:lineRule="auto"/>
              <w:ind w:firstLine="0"/>
              <w:jc w:val="center"/>
            </w:pPr>
            <w:r>
              <w:rPr>
                <w:rFonts w:cs="Calibri"/>
                <w:color w:val="000000"/>
                <w:sz w:val="16"/>
                <w:szCs w:val="16"/>
              </w:rPr>
              <w:t>0</w:t>
            </w:r>
          </w:p>
        </w:tc>
        <w:tc>
          <w:tcPr>
            <w:tcW w:w="638" w:type="dxa"/>
            <w:tcBorders>
              <w:top w:val="single" w:sz="4" w:space="0" w:color="000080"/>
              <w:bottom w:val="single" w:sz="4" w:space="0" w:color="000080"/>
            </w:tcBorders>
            <w:shd w:val="clear" w:color="auto" w:fill="auto"/>
            <w:vAlign w:val="center"/>
          </w:tcPr>
          <w:p w14:paraId="5AEDE932" w14:textId="77777777" w:rsidR="00061155" w:rsidRDefault="00061155">
            <w:pPr>
              <w:spacing w:line="240" w:lineRule="auto"/>
              <w:ind w:firstLine="0"/>
              <w:jc w:val="center"/>
            </w:pPr>
            <w:r>
              <w:rPr>
                <w:rFonts w:cs="Calibri"/>
                <w:color w:val="000000"/>
                <w:sz w:val="16"/>
                <w:szCs w:val="16"/>
              </w:rPr>
              <w:t>2</w:t>
            </w:r>
          </w:p>
        </w:tc>
        <w:tc>
          <w:tcPr>
            <w:tcW w:w="586" w:type="dxa"/>
            <w:tcBorders>
              <w:top w:val="single" w:sz="4" w:space="0" w:color="000080"/>
              <w:bottom w:val="single" w:sz="4" w:space="0" w:color="000080"/>
            </w:tcBorders>
            <w:shd w:val="clear" w:color="auto" w:fill="auto"/>
            <w:vAlign w:val="center"/>
          </w:tcPr>
          <w:p w14:paraId="74181CEB" w14:textId="77777777" w:rsidR="00061155" w:rsidRDefault="00061155">
            <w:pPr>
              <w:spacing w:line="240" w:lineRule="auto"/>
              <w:ind w:firstLine="0"/>
              <w:jc w:val="center"/>
            </w:pPr>
            <w:r>
              <w:rPr>
                <w:rFonts w:cs="Calibri"/>
                <w:color w:val="000000"/>
                <w:sz w:val="16"/>
                <w:szCs w:val="16"/>
              </w:rPr>
              <w:t>0</w:t>
            </w:r>
          </w:p>
        </w:tc>
        <w:tc>
          <w:tcPr>
            <w:tcW w:w="432" w:type="dxa"/>
            <w:tcBorders>
              <w:top w:val="single" w:sz="4" w:space="0" w:color="000080"/>
              <w:bottom w:val="single" w:sz="4" w:space="0" w:color="000080"/>
            </w:tcBorders>
            <w:shd w:val="clear" w:color="auto" w:fill="auto"/>
            <w:vAlign w:val="center"/>
          </w:tcPr>
          <w:p w14:paraId="5C1A69F1" w14:textId="77777777" w:rsidR="00061155" w:rsidRDefault="00061155">
            <w:pPr>
              <w:spacing w:line="240" w:lineRule="auto"/>
              <w:ind w:firstLine="0"/>
              <w:jc w:val="center"/>
            </w:pPr>
            <w:r>
              <w:rPr>
                <w:rFonts w:cs="Calibri"/>
                <w:color w:val="000000"/>
                <w:sz w:val="16"/>
                <w:szCs w:val="16"/>
              </w:rPr>
              <w:t>0</w:t>
            </w:r>
          </w:p>
        </w:tc>
        <w:tc>
          <w:tcPr>
            <w:tcW w:w="515" w:type="dxa"/>
            <w:tcBorders>
              <w:top w:val="single" w:sz="4" w:space="0" w:color="000080"/>
              <w:bottom w:val="single" w:sz="4" w:space="0" w:color="000080"/>
            </w:tcBorders>
            <w:shd w:val="clear" w:color="auto" w:fill="auto"/>
            <w:vAlign w:val="center"/>
          </w:tcPr>
          <w:p w14:paraId="7C5F2514" w14:textId="77777777" w:rsidR="00061155" w:rsidRDefault="00061155">
            <w:pPr>
              <w:spacing w:line="240" w:lineRule="auto"/>
              <w:ind w:firstLine="0"/>
              <w:jc w:val="center"/>
            </w:pPr>
            <w:r>
              <w:rPr>
                <w:rFonts w:cs="Calibri"/>
                <w:color w:val="000000"/>
                <w:sz w:val="16"/>
                <w:szCs w:val="16"/>
              </w:rPr>
              <w:t>4</w:t>
            </w:r>
          </w:p>
        </w:tc>
        <w:tc>
          <w:tcPr>
            <w:tcW w:w="239" w:type="dxa"/>
            <w:tcBorders>
              <w:top w:val="single" w:sz="4" w:space="0" w:color="000080"/>
              <w:bottom w:val="single" w:sz="4" w:space="0" w:color="000080"/>
            </w:tcBorders>
            <w:shd w:val="clear" w:color="auto" w:fill="auto"/>
            <w:vAlign w:val="center"/>
          </w:tcPr>
          <w:p w14:paraId="691E6AFF"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4EFBA6DB" w14:textId="77777777" w:rsidR="00061155" w:rsidRDefault="00061155">
            <w:pPr>
              <w:spacing w:line="240" w:lineRule="auto"/>
              <w:ind w:firstLine="0"/>
              <w:jc w:val="center"/>
            </w:pPr>
            <w:r>
              <w:rPr>
                <w:rFonts w:cs="Calibri"/>
                <w:color w:val="000000"/>
                <w:sz w:val="16"/>
                <w:szCs w:val="16"/>
              </w:rPr>
              <w:t>58</w:t>
            </w:r>
          </w:p>
        </w:tc>
      </w:tr>
      <w:tr w:rsidR="00061155" w14:paraId="5625AEDA" w14:textId="77777777">
        <w:trPr>
          <w:trHeight w:val="244"/>
        </w:trPr>
        <w:tc>
          <w:tcPr>
            <w:tcW w:w="6231" w:type="dxa"/>
            <w:tcBorders>
              <w:top w:val="single" w:sz="4" w:space="0" w:color="000080"/>
              <w:bottom w:val="single" w:sz="4" w:space="0" w:color="000080"/>
            </w:tcBorders>
            <w:shd w:val="clear" w:color="auto" w:fill="auto"/>
            <w:vAlign w:val="center"/>
          </w:tcPr>
          <w:p w14:paraId="6A5522EC" w14:textId="77777777" w:rsidR="00061155" w:rsidRDefault="00061155">
            <w:pPr>
              <w:pStyle w:val="Paragrafoelenco"/>
              <w:numPr>
                <w:ilvl w:val="0"/>
                <w:numId w:val="4"/>
              </w:numPr>
              <w:spacing w:line="240" w:lineRule="auto"/>
            </w:pPr>
            <w:r>
              <w:rPr>
                <w:rFonts w:cs="Calibri"/>
                <w:color w:val="000000"/>
                <w:sz w:val="16"/>
                <w:szCs w:val="16"/>
              </w:rPr>
              <w:t>Personal Realization (e.g., establish yourself, achieve goals, succeed)</w:t>
            </w:r>
          </w:p>
        </w:tc>
        <w:tc>
          <w:tcPr>
            <w:tcW w:w="239" w:type="dxa"/>
            <w:tcBorders>
              <w:top w:val="single" w:sz="4" w:space="0" w:color="000080"/>
              <w:bottom w:val="single" w:sz="4" w:space="0" w:color="000080"/>
            </w:tcBorders>
            <w:shd w:val="clear" w:color="auto" w:fill="auto"/>
          </w:tcPr>
          <w:p w14:paraId="5F299F22"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5ACACEAA" w14:textId="77777777" w:rsidR="00061155" w:rsidRDefault="00061155">
            <w:pPr>
              <w:spacing w:line="240" w:lineRule="auto"/>
              <w:ind w:firstLine="0"/>
              <w:jc w:val="center"/>
            </w:pPr>
            <w:r>
              <w:rPr>
                <w:rFonts w:cs="Calibri"/>
                <w:color w:val="000000"/>
                <w:sz w:val="16"/>
                <w:szCs w:val="16"/>
              </w:rPr>
              <w:t>124</w:t>
            </w:r>
          </w:p>
        </w:tc>
        <w:tc>
          <w:tcPr>
            <w:tcW w:w="640" w:type="dxa"/>
            <w:tcBorders>
              <w:top w:val="single" w:sz="4" w:space="0" w:color="000080"/>
              <w:bottom w:val="single" w:sz="4" w:space="0" w:color="000080"/>
            </w:tcBorders>
            <w:shd w:val="clear" w:color="auto" w:fill="auto"/>
            <w:vAlign w:val="center"/>
          </w:tcPr>
          <w:p w14:paraId="31673E81" w14:textId="77777777" w:rsidR="00061155" w:rsidRDefault="00061155">
            <w:pPr>
              <w:spacing w:line="240" w:lineRule="auto"/>
              <w:ind w:firstLine="0"/>
              <w:jc w:val="center"/>
            </w:pPr>
            <w:r>
              <w:rPr>
                <w:rFonts w:cs="Calibri"/>
                <w:color w:val="000000"/>
                <w:sz w:val="16"/>
                <w:szCs w:val="16"/>
              </w:rPr>
              <w:t>10</w:t>
            </w:r>
          </w:p>
        </w:tc>
        <w:tc>
          <w:tcPr>
            <w:tcW w:w="669" w:type="dxa"/>
            <w:tcBorders>
              <w:top w:val="single" w:sz="4" w:space="0" w:color="000080"/>
              <w:bottom w:val="single" w:sz="4" w:space="0" w:color="000080"/>
            </w:tcBorders>
            <w:shd w:val="clear" w:color="auto" w:fill="auto"/>
            <w:vAlign w:val="center"/>
          </w:tcPr>
          <w:p w14:paraId="60D5A02C" w14:textId="77777777" w:rsidR="00061155" w:rsidRDefault="00061155">
            <w:pPr>
              <w:spacing w:line="240" w:lineRule="auto"/>
              <w:ind w:firstLine="0"/>
              <w:jc w:val="center"/>
            </w:pPr>
            <w:r>
              <w:rPr>
                <w:rFonts w:cs="Calibri"/>
                <w:color w:val="000000"/>
                <w:sz w:val="16"/>
                <w:szCs w:val="16"/>
              </w:rPr>
              <w:t>51</w:t>
            </w:r>
          </w:p>
        </w:tc>
        <w:tc>
          <w:tcPr>
            <w:tcW w:w="616" w:type="dxa"/>
            <w:tcBorders>
              <w:top w:val="single" w:sz="4" w:space="0" w:color="000080"/>
              <w:bottom w:val="single" w:sz="4" w:space="0" w:color="000080"/>
            </w:tcBorders>
            <w:shd w:val="clear" w:color="auto" w:fill="auto"/>
            <w:vAlign w:val="center"/>
          </w:tcPr>
          <w:p w14:paraId="7E6E927F" w14:textId="77777777" w:rsidR="00061155" w:rsidRDefault="00061155">
            <w:pPr>
              <w:spacing w:line="240" w:lineRule="auto"/>
              <w:ind w:firstLine="0"/>
              <w:jc w:val="center"/>
            </w:pPr>
            <w:r>
              <w:rPr>
                <w:rFonts w:cs="Calibri"/>
                <w:color w:val="000000"/>
                <w:sz w:val="16"/>
                <w:szCs w:val="16"/>
              </w:rPr>
              <w:t>9</w:t>
            </w:r>
          </w:p>
        </w:tc>
        <w:tc>
          <w:tcPr>
            <w:tcW w:w="463" w:type="dxa"/>
            <w:tcBorders>
              <w:top w:val="single" w:sz="4" w:space="0" w:color="000080"/>
              <w:bottom w:val="single" w:sz="4" w:space="0" w:color="000080"/>
            </w:tcBorders>
            <w:shd w:val="clear" w:color="auto" w:fill="auto"/>
            <w:vAlign w:val="center"/>
          </w:tcPr>
          <w:p w14:paraId="72F6FC28" w14:textId="77777777" w:rsidR="00061155" w:rsidRDefault="00061155">
            <w:pPr>
              <w:spacing w:line="240" w:lineRule="auto"/>
              <w:ind w:firstLine="0"/>
              <w:jc w:val="center"/>
            </w:pPr>
            <w:r>
              <w:rPr>
                <w:rFonts w:cs="Calibri"/>
                <w:color w:val="000000"/>
                <w:sz w:val="16"/>
                <w:szCs w:val="16"/>
              </w:rPr>
              <w:t>15</w:t>
            </w:r>
          </w:p>
        </w:tc>
        <w:tc>
          <w:tcPr>
            <w:tcW w:w="546" w:type="dxa"/>
            <w:tcBorders>
              <w:top w:val="single" w:sz="4" w:space="0" w:color="000080"/>
              <w:bottom w:val="single" w:sz="4" w:space="0" w:color="000080"/>
            </w:tcBorders>
            <w:shd w:val="clear" w:color="auto" w:fill="auto"/>
            <w:vAlign w:val="center"/>
          </w:tcPr>
          <w:p w14:paraId="08348BA3" w14:textId="77777777" w:rsidR="00061155" w:rsidRDefault="00061155">
            <w:pPr>
              <w:spacing w:line="240" w:lineRule="auto"/>
              <w:ind w:firstLine="0"/>
              <w:jc w:val="center"/>
            </w:pPr>
            <w:r>
              <w:rPr>
                <w:rFonts w:cs="Calibri"/>
                <w:color w:val="000000"/>
                <w:sz w:val="16"/>
                <w:szCs w:val="16"/>
              </w:rPr>
              <w:t>209</w:t>
            </w:r>
          </w:p>
        </w:tc>
        <w:tc>
          <w:tcPr>
            <w:tcW w:w="239" w:type="dxa"/>
            <w:tcBorders>
              <w:top w:val="single" w:sz="4" w:space="0" w:color="000080"/>
              <w:bottom w:val="single" w:sz="4" w:space="0" w:color="000080"/>
            </w:tcBorders>
            <w:shd w:val="clear" w:color="auto" w:fill="auto"/>
            <w:vAlign w:val="center"/>
          </w:tcPr>
          <w:p w14:paraId="62DD9E7D"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6B161D0A" w14:textId="77777777" w:rsidR="00061155" w:rsidRDefault="00061155">
            <w:pPr>
              <w:spacing w:line="240" w:lineRule="auto"/>
              <w:ind w:firstLine="0"/>
              <w:jc w:val="center"/>
            </w:pPr>
            <w:r>
              <w:rPr>
                <w:rFonts w:cs="Calibri"/>
                <w:color w:val="000000"/>
                <w:sz w:val="16"/>
                <w:szCs w:val="16"/>
              </w:rPr>
              <w:t>3</w:t>
            </w:r>
          </w:p>
        </w:tc>
        <w:tc>
          <w:tcPr>
            <w:tcW w:w="609" w:type="dxa"/>
            <w:tcBorders>
              <w:top w:val="single" w:sz="4" w:space="0" w:color="000080"/>
              <w:bottom w:val="single" w:sz="4" w:space="0" w:color="000080"/>
            </w:tcBorders>
            <w:shd w:val="clear" w:color="auto" w:fill="auto"/>
            <w:vAlign w:val="center"/>
          </w:tcPr>
          <w:p w14:paraId="4A64FD98" w14:textId="77777777" w:rsidR="00061155" w:rsidRDefault="00061155">
            <w:pPr>
              <w:spacing w:line="240" w:lineRule="auto"/>
              <w:ind w:firstLine="0"/>
              <w:jc w:val="center"/>
            </w:pPr>
            <w:r>
              <w:rPr>
                <w:rFonts w:cs="Calibri"/>
                <w:color w:val="000000"/>
                <w:sz w:val="16"/>
                <w:szCs w:val="16"/>
              </w:rPr>
              <w:t>5</w:t>
            </w:r>
          </w:p>
        </w:tc>
        <w:tc>
          <w:tcPr>
            <w:tcW w:w="638" w:type="dxa"/>
            <w:tcBorders>
              <w:top w:val="single" w:sz="4" w:space="0" w:color="000080"/>
              <w:bottom w:val="single" w:sz="4" w:space="0" w:color="000080"/>
            </w:tcBorders>
            <w:shd w:val="clear" w:color="auto" w:fill="auto"/>
            <w:vAlign w:val="center"/>
          </w:tcPr>
          <w:p w14:paraId="1F619EE4" w14:textId="77777777" w:rsidR="00061155" w:rsidRDefault="00061155">
            <w:pPr>
              <w:spacing w:line="240" w:lineRule="auto"/>
              <w:ind w:firstLine="0"/>
              <w:jc w:val="center"/>
            </w:pPr>
            <w:r>
              <w:rPr>
                <w:rFonts w:cs="Calibri"/>
                <w:color w:val="000000"/>
                <w:sz w:val="16"/>
                <w:szCs w:val="16"/>
              </w:rPr>
              <w:t>2</w:t>
            </w:r>
          </w:p>
        </w:tc>
        <w:tc>
          <w:tcPr>
            <w:tcW w:w="586" w:type="dxa"/>
            <w:tcBorders>
              <w:top w:val="single" w:sz="4" w:space="0" w:color="000080"/>
              <w:bottom w:val="single" w:sz="4" w:space="0" w:color="000080"/>
            </w:tcBorders>
            <w:shd w:val="clear" w:color="auto" w:fill="auto"/>
            <w:vAlign w:val="center"/>
          </w:tcPr>
          <w:p w14:paraId="7F194F2A" w14:textId="77777777" w:rsidR="00061155" w:rsidRDefault="00061155">
            <w:pPr>
              <w:spacing w:line="240" w:lineRule="auto"/>
              <w:ind w:firstLine="0"/>
              <w:jc w:val="center"/>
            </w:pPr>
            <w:r>
              <w:rPr>
                <w:rFonts w:cs="Calibri"/>
                <w:color w:val="000000"/>
                <w:sz w:val="16"/>
                <w:szCs w:val="16"/>
              </w:rPr>
              <w:t>5</w:t>
            </w:r>
          </w:p>
        </w:tc>
        <w:tc>
          <w:tcPr>
            <w:tcW w:w="432" w:type="dxa"/>
            <w:tcBorders>
              <w:top w:val="single" w:sz="4" w:space="0" w:color="000080"/>
              <w:bottom w:val="single" w:sz="4" w:space="0" w:color="000080"/>
            </w:tcBorders>
            <w:shd w:val="clear" w:color="auto" w:fill="auto"/>
            <w:vAlign w:val="center"/>
          </w:tcPr>
          <w:p w14:paraId="08FF0342" w14:textId="77777777" w:rsidR="00061155" w:rsidRDefault="00061155">
            <w:pPr>
              <w:spacing w:line="240" w:lineRule="auto"/>
              <w:ind w:firstLine="0"/>
              <w:jc w:val="center"/>
            </w:pPr>
            <w:r>
              <w:rPr>
                <w:rFonts w:cs="Calibri"/>
                <w:color w:val="000000"/>
                <w:sz w:val="16"/>
                <w:szCs w:val="16"/>
              </w:rPr>
              <w:t>4</w:t>
            </w:r>
          </w:p>
        </w:tc>
        <w:tc>
          <w:tcPr>
            <w:tcW w:w="515" w:type="dxa"/>
            <w:tcBorders>
              <w:top w:val="single" w:sz="4" w:space="0" w:color="000080"/>
              <w:bottom w:val="single" w:sz="4" w:space="0" w:color="000080"/>
            </w:tcBorders>
            <w:shd w:val="clear" w:color="auto" w:fill="auto"/>
            <w:vAlign w:val="center"/>
          </w:tcPr>
          <w:p w14:paraId="3A2CBE56" w14:textId="77777777" w:rsidR="00061155" w:rsidRDefault="00061155">
            <w:pPr>
              <w:spacing w:line="240" w:lineRule="auto"/>
              <w:ind w:firstLine="0"/>
              <w:jc w:val="center"/>
            </w:pPr>
            <w:r>
              <w:rPr>
                <w:rFonts w:cs="Calibri"/>
                <w:color w:val="000000"/>
                <w:sz w:val="16"/>
                <w:szCs w:val="16"/>
              </w:rPr>
              <w:t>19</w:t>
            </w:r>
          </w:p>
        </w:tc>
        <w:tc>
          <w:tcPr>
            <w:tcW w:w="239" w:type="dxa"/>
            <w:tcBorders>
              <w:top w:val="single" w:sz="4" w:space="0" w:color="000080"/>
              <w:bottom w:val="single" w:sz="4" w:space="0" w:color="000080"/>
            </w:tcBorders>
            <w:shd w:val="clear" w:color="auto" w:fill="auto"/>
            <w:vAlign w:val="center"/>
          </w:tcPr>
          <w:p w14:paraId="618ECE65"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3E90DAC6" w14:textId="77777777" w:rsidR="00061155" w:rsidRDefault="00061155">
            <w:pPr>
              <w:spacing w:line="240" w:lineRule="auto"/>
              <w:ind w:firstLine="0"/>
              <w:jc w:val="center"/>
            </w:pPr>
            <w:r>
              <w:rPr>
                <w:rFonts w:cs="Calibri"/>
                <w:color w:val="000000"/>
                <w:sz w:val="16"/>
                <w:szCs w:val="16"/>
              </w:rPr>
              <w:t>228</w:t>
            </w:r>
          </w:p>
        </w:tc>
      </w:tr>
      <w:tr w:rsidR="00061155" w14:paraId="49D1B31C" w14:textId="77777777">
        <w:trPr>
          <w:trHeight w:val="244"/>
        </w:trPr>
        <w:tc>
          <w:tcPr>
            <w:tcW w:w="6231" w:type="dxa"/>
            <w:tcBorders>
              <w:top w:val="single" w:sz="4" w:space="0" w:color="000080"/>
              <w:bottom w:val="single" w:sz="4" w:space="0" w:color="000080"/>
            </w:tcBorders>
            <w:shd w:val="clear" w:color="auto" w:fill="auto"/>
            <w:vAlign w:val="center"/>
          </w:tcPr>
          <w:p w14:paraId="7EB1C1A0" w14:textId="77777777" w:rsidR="00061155" w:rsidRDefault="00061155">
            <w:pPr>
              <w:pStyle w:val="Paragrafoelenco"/>
              <w:numPr>
                <w:ilvl w:val="0"/>
                <w:numId w:val="4"/>
              </w:numPr>
              <w:spacing w:line="240" w:lineRule="auto"/>
            </w:pPr>
            <w:r>
              <w:rPr>
                <w:rFonts w:cs="Calibri"/>
                <w:color w:val="000000"/>
                <w:sz w:val="16"/>
                <w:szCs w:val="16"/>
              </w:rPr>
              <w:t>Do something well, avoid mistakes</w:t>
            </w:r>
          </w:p>
        </w:tc>
        <w:tc>
          <w:tcPr>
            <w:tcW w:w="239" w:type="dxa"/>
            <w:tcBorders>
              <w:top w:val="single" w:sz="4" w:space="0" w:color="000080"/>
              <w:bottom w:val="single" w:sz="4" w:space="0" w:color="000080"/>
            </w:tcBorders>
            <w:shd w:val="clear" w:color="auto" w:fill="auto"/>
          </w:tcPr>
          <w:p w14:paraId="045E0E91"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27617278" w14:textId="77777777" w:rsidR="00061155" w:rsidRDefault="00061155">
            <w:pPr>
              <w:spacing w:line="240" w:lineRule="auto"/>
              <w:ind w:firstLine="0"/>
              <w:jc w:val="center"/>
            </w:pPr>
            <w:r>
              <w:rPr>
                <w:rFonts w:cs="Calibri"/>
                <w:color w:val="000000"/>
                <w:sz w:val="16"/>
                <w:szCs w:val="16"/>
              </w:rPr>
              <w:t>8</w:t>
            </w:r>
          </w:p>
        </w:tc>
        <w:tc>
          <w:tcPr>
            <w:tcW w:w="640" w:type="dxa"/>
            <w:tcBorders>
              <w:top w:val="single" w:sz="4" w:space="0" w:color="000080"/>
              <w:bottom w:val="single" w:sz="4" w:space="0" w:color="000080"/>
            </w:tcBorders>
            <w:shd w:val="clear" w:color="auto" w:fill="auto"/>
            <w:vAlign w:val="center"/>
          </w:tcPr>
          <w:p w14:paraId="60713C5C" w14:textId="77777777" w:rsidR="00061155" w:rsidRDefault="00061155">
            <w:pPr>
              <w:spacing w:line="240" w:lineRule="auto"/>
              <w:ind w:firstLine="0"/>
              <w:jc w:val="center"/>
            </w:pPr>
            <w:r>
              <w:rPr>
                <w:rFonts w:cs="Calibri"/>
                <w:color w:val="000000"/>
                <w:sz w:val="16"/>
                <w:szCs w:val="16"/>
              </w:rPr>
              <w:t>27</w:t>
            </w:r>
          </w:p>
        </w:tc>
        <w:tc>
          <w:tcPr>
            <w:tcW w:w="669" w:type="dxa"/>
            <w:tcBorders>
              <w:top w:val="single" w:sz="4" w:space="0" w:color="000080"/>
              <w:bottom w:val="single" w:sz="4" w:space="0" w:color="000080"/>
            </w:tcBorders>
            <w:shd w:val="clear" w:color="auto" w:fill="auto"/>
            <w:vAlign w:val="center"/>
          </w:tcPr>
          <w:p w14:paraId="73257C4C" w14:textId="77777777" w:rsidR="00061155" w:rsidRDefault="00061155">
            <w:pPr>
              <w:spacing w:line="240" w:lineRule="auto"/>
              <w:ind w:firstLine="0"/>
              <w:jc w:val="center"/>
            </w:pPr>
            <w:r>
              <w:rPr>
                <w:rFonts w:cs="Calibri"/>
                <w:color w:val="000000"/>
                <w:sz w:val="16"/>
                <w:szCs w:val="16"/>
              </w:rPr>
              <w:t>49</w:t>
            </w:r>
          </w:p>
        </w:tc>
        <w:tc>
          <w:tcPr>
            <w:tcW w:w="616" w:type="dxa"/>
            <w:tcBorders>
              <w:top w:val="single" w:sz="4" w:space="0" w:color="000080"/>
              <w:bottom w:val="single" w:sz="4" w:space="0" w:color="000080"/>
            </w:tcBorders>
            <w:shd w:val="clear" w:color="auto" w:fill="auto"/>
            <w:vAlign w:val="center"/>
          </w:tcPr>
          <w:p w14:paraId="001E5883" w14:textId="77777777" w:rsidR="00061155" w:rsidRDefault="00061155">
            <w:pPr>
              <w:spacing w:line="240" w:lineRule="auto"/>
              <w:ind w:firstLine="0"/>
              <w:jc w:val="center"/>
            </w:pPr>
            <w:r>
              <w:rPr>
                <w:rFonts w:cs="Calibri"/>
                <w:color w:val="000000"/>
                <w:sz w:val="16"/>
                <w:szCs w:val="16"/>
              </w:rPr>
              <w:t>6</w:t>
            </w:r>
          </w:p>
        </w:tc>
        <w:tc>
          <w:tcPr>
            <w:tcW w:w="463" w:type="dxa"/>
            <w:tcBorders>
              <w:top w:val="single" w:sz="4" w:space="0" w:color="000080"/>
              <w:bottom w:val="single" w:sz="4" w:space="0" w:color="000080"/>
            </w:tcBorders>
            <w:shd w:val="clear" w:color="auto" w:fill="auto"/>
            <w:vAlign w:val="center"/>
          </w:tcPr>
          <w:p w14:paraId="27365875" w14:textId="77777777" w:rsidR="00061155" w:rsidRDefault="00061155">
            <w:pPr>
              <w:spacing w:line="240" w:lineRule="auto"/>
              <w:ind w:firstLine="0"/>
              <w:jc w:val="center"/>
            </w:pPr>
            <w:r>
              <w:rPr>
                <w:rFonts w:cs="Calibri"/>
                <w:color w:val="000000"/>
                <w:sz w:val="16"/>
                <w:szCs w:val="16"/>
              </w:rPr>
              <w:t>16</w:t>
            </w:r>
          </w:p>
        </w:tc>
        <w:tc>
          <w:tcPr>
            <w:tcW w:w="546" w:type="dxa"/>
            <w:tcBorders>
              <w:top w:val="single" w:sz="4" w:space="0" w:color="000080"/>
              <w:bottom w:val="single" w:sz="4" w:space="0" w:color="000080"/>
            </w:tcBorders>
            <w:shd w:val="clear" w:color="auto" w:fill="auto"/>
            <w:vAlign w:val="center"/>
          </w:tcPr>
          <w:p w14:paraId="6AEC4330" w14:textId="77777777" w:rsidR="00061155" w:rsidRDefault="00061155">
            <w:pPr>
              <w:spacing w:line="240" w:lineRule="auto"/>
              <w:ind w:firstLine="0"/>
              <w:jc w:val="center"/>
            </w:pPr>
            <w:r>
              <w:rPr>
                <w:rFonts w:cs="Calibri"/>
                <w:color w:val="000000"/>
                <w:sz w:val="16"/>
                <w:szCs w:val="16"/>
              </w:rPr>
              <w:t>106</w:t>
            </w:r>
          </w:p>
        </w:tc>
        <w:tc>
          <w:tcPr>
            <w:tcW w:w="239" w:type="dxa"/>
            <w:tcBorders>
              <w:top w:val="single" w:sz="4" w:space="0" w:color="000080"/>
              <w:bottom w:val="single" w:sz="4" w:space="0" w:color="000080"/>
            </w:tcBorders>
            <w:shd w:val="clear" w:color="auto" w:fill="auto"/>
            <w:vAlign w:val="center"/>
          </w:tcPr>
          <w:p w14:paraId="04DA89FE"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4EEC8AFF" w14:textId="77777777" w:rsidR="00061155" w:rsidRDefault="00061155">
            <w:pPr>
              <w:spacing w:line="240" w:lineRule="auto"/>
              <w:ind w:firstLine="0"/>
              <w:jc w:val="center"/>
            </w:pPr>
            <w:r>
              <w:rPr>
                <w:rFonts w:cs="Calibri"/>
                <w:color w:val="000000"/>
                <w:sz w:val="16"/>
                <w:szCs w:val="16"/>
              </w:rPr>
              <w:t>0</w:t>
            </w:r>
          </w:p>
        </w:tc>
        <w:tc>
          <w:tcPr>
            <w:tcW w:w="609" w:type="dxa"/>
            <w:tcBorders>
              <w:top w:val="single" w:sz="4" w:space="0" w:color="000080"/>
              <w:bottom w:val="single" w:sz="4" w:space="0" w:color="000080"/>
            </w:tcBorders>
            <w:shd w:val="clear" w:color="auto" w:fill="auto"/>
            <w:vAlign w:val="center"/>
          </w:tcPr>
          <w:p w14:paraId="639D3B8A" w14:textId="77777777" w:rsidR="00061155" w:rsidRDefault="00061155">
            <w:pPr>
              <w:spacing w:line="240" w:lineRule="auto"/>
              <w:ind w:firstLine="0"/>
              <w:jc w:val="center"/>
            </w:pPr>
            <w:r>
              <w:rPr>
                <w:rFonts w:cs="Calibri"/>
                <w:color w:val="000000"/>
                <w:sz w:val="16"/>
                <w:szCs w:val="16"/>
              </w:rPr>
              <w:t>0</w:t>
            </w:r>
          </w:p>
        </w:tc>
        <w:tc>
          <w:tcPr>
            <w:tcW w:w="638" w:type="dxa"/>
            <w:tcBorders>
              <w:top w:val="single" w:sz="4" w:space="0" w:color="000080"/>
              <w:bottom w:val="single" w:sz="4" w:space="0" w:color="000080"/>
            </w:tcBorders>
            <w:shd w:val="clear" w:color="auto" w:fill="auto"/>
            <w:vAlign w:val="center"/>
          </w:tcPr>
          <w:p w14:paraId="22021459" w14:textId="77777777" w:rsidR="00061155" w:rsidRDefault="00061155">
            <w:pPr>
              <w:spacing w:line="240" w:lineRule="auto"/>
              <w:ind w:firstLine="0"/>
              <w:jc w:val="center"/>
            </w:pPr>
            <w:r>
              <w:rPr>
                <w:rFonts w:cs="Calibri"/>
                <w:color w:val="000000"/>
                <w:sz w:val="16"/>
                <w:szCs w:val="16"/>
              </w:rPr>
              <w:t>0</w:t>
            </w:r>
          </w:p>
        </w:tc>
        <w:tc>
          <w:tcPr>
            <w:tcW w:w="586" w:type="dxa"/>
            <w:tcBorders>
              <w:top w:val="single" w:sz="4" w:space="0" w:color="000080"/>
              <w:bottom w:val="single" w:sz="4" w:space="0" w:color="000080"/>
            </w:tcBorders>
            <w:shd w:val="clear" w:color="auto" w:fill="auto"/>
            <w:vAlign w:val="center"/>
          </w:tcPr>
          <w:p w14:paraId="44D34D6F" w14:textId="77777777" w:rsidR="00061155" w:rsidRDefault="00061155">
            <w:pPr>
              <w:spacing w:line="240" w:lineRule="auto"/>
              <w:ind w:firstLine="0"/>
              <w:jc w:val="center"/>
            </w:pPr>
            <w:r>
              <w:rPr>
                <w:rFonts w:cs="Calibri"/>
                <w:color w:val="000000"/>
                <w:sz w:val="16"/>
                <w:szCs w:val="16"/>
              </w:rPr>
              <w:t>0</w:t>
            </w:r>
          </w:p>
        </w:tc>
        <w:tc>
          <w:tcPr>
            <w:tcW w:w="432" w:type="dxa"/>
            <w:tcBorders>
              <w:top w:val="single" w:sz="4" w:space="0" w:color="000080"/>
              <w:bottom w:val="single" w:sz="4" w:space="0" w:color="000080"/>
            </w:tcBorders>
            <w:shd w:val="clear" w:color="auto" w:fill="auto"/>
            <w:vAlign w:val="center"/>
          </w:tcPr>
          <w:p w14:paraId="794E7084" w14:textId="77777777" w:rsidR="00061155" w:rsidRDefault="00061155">
            <w:pPr>
              <w:spacing w:line="240" w:lineRule="auto"/>
              <w:ind w:firstLine="0"/>
              <w:jc w:val="center"/>
            </w:pPr>
            <w:r>
              <w:rPr>
                <w:rFonts w:cs="Calibri"/>
                <w:color w:val="000000"/>
                <w:sz w:val="16"/>
                <w:szCs w:val="16"/>
              </w:rPr>
              <w:t>0</w:t>
            </w:r>
          </w:p>
        </w:tc>
        <w:tc>
          <w:tcPr>
            <w:tcW w:w="515" w:type="dxa"/>
            <w:tcBorders>
              <w:top w:val="single" w:sz="4" w:space="0" w:color="000080"/>
              <w:bottom w:val="single" w:sz="4" w:space="0" w:color="000080"/>
            </w:tcBorders>
            <w:shd w:val="clear" w:color="auto" w:fill="auto"/>
            <w:vAlign w:val="center"/>
          </w:tcPr>
          <w:p w14:paraId="513F65F2" w14:textId="77777777" w:rsidR="00061155" w:rsidRDefault="00061155">
            <w:pPr>
              <w:spacing w:line="240" w:lineRule="auto"/>
              <w:ind w:firstLine="0"/>
              <w:jc w:val="center"/>
            </w:pPr>
            <w:r>
              <w:rPr>
                <w:rFonts w:cs="Calibri"/>
                <w:color w:val="000000"/>
                <w:sz w:val="16"/>
                <w:szCs w:val="16"/>
              </w:rPr>
              <w:t>0</w:t>
            </w:r>
          </w:p>
        </w:tc>
        <w:tc>
          <w:tcPr>
            <w:tcW w:w="239" w:type="dxa"/>
            <w:tcBorders>
              <w:top w:val="single" w:sz="4" w:space="0" w:color="000080"/>
              <w:bottom w:val="single" w:sz="4" w:space="0" w:color="000080"/>
            </w:tcBorders>
            <w:shd w:val="clear" w:color="auto" w:fill="auto"/>
            <w:vAlign w:val="center"/>
          </w:tcPr>
          <w:p w14:paraId="0836E7A2"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3D60E8D9" w14:textId="77777777" w:rsidR="00061155" w:rsidRDefault="00061155">
            <w:pPr>
              <w:spacing w:line="240" w:lineRule="auto"/>
              <w:ind w:firstLine="0"/>
              <w:jc w:val="center"/>
            </w:pPr>
            <w:r>
              <w:rPr>
                <w:rFonts w:cs="Calibri"/>
                <w:color w:val="000000"/>
                <w:sz w:val="16"/>
                <w:szCs w:val="16"/>
              </w:rPr>
              <w:t>106</w:t>
            </w:r>
          </w:p>
        </w:tc>
      </w:tr>
      <w:tr w:rsidR="00061155" w14:paraId="67D234DE" w14:textId="77777777">
        <w:trPr>
          <w:trHeight w:val="244"/>
        </w:trPr>
        <w:tc>
          <w:tcPr>
            <w:tcW w:w="6231" w:type="dxa"/>
            <w:tcBorders>
              <w:top w:val="single" w:sz="4" w:space="0" w:color="000080"/>
              <w:bottom w:val="single" w:sz="4" w:space="0" w:color="000080"/>
            </w:tcBorders>
            <w:shd w:val="clear" w:color="auto" w:fill="auto"/>
            <w:vAlign w:val="center"/>
          </w:tcPr>
          <w:p w14:paraId="0CD110B1" w14:textId="77777777" w:rsidR="00061155" w:rsidRDefault="00061155">
            <w:pPr>
              <w:pStyle w:val="Paragrafoelenco"/>
              <w:numPr>
                <w:ilvl w:val="0"/>
                <w:numId w:val="4"/>
              </w:numPr>
              <w:spacing w:line="240" w:lineRule="auto"/>
            </w:pPr>
            <w:r>
              <w:rPr>
                <w:rFonts w:cs="Calibri"/>
                <w:color w:val="000000"/>
                <w:sz w:val="16"/>
                <w:szCs w:val="16"/>
              </w:rPr>
              <w:t>Accomplish something, observe a commitment</w:t>
            </w:r>
          </w:p>
        </w:tc>
        <w:tc>
          <w:tcPr>
            <w:tcW w:w="239" w:type="dxa"/>
            <w:tcBorders>
              <w:top w:val="single" w:sz="4" w:space="0" w:color="000080"/>
              <w:bottom w:val="single" w:sz="4" w:space="0" w:color="000080"/>
            </w:tcBorders>
            <w:shd w:val="clear" w:color="auto" w:fill="auto"/>
          </w:tcPr>
          <w:p w14:paraId="4B7A0FC5"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24BBDE9F" w14:textId="77777777" w:rsidR="00061155" w:rsidRDefault="00061155">
            <w:pPr>
              <w:spacing w:line="240" w:lineRule="auto"/>
              <w:ind w:firstLine="0"/>
              <w:jc w:val="center"/>
            </w:pPr>
            <w:r>
              <w:rPr>
                <w:rFonts w:cs="Calibri"/>
                <w:color w:val="000000"/>
                <w:sz w:val="16"/>
                <w:szCs w:val="16"/>
              </w:rPr>
              <w:t>15</w:t>
            </w:r>
          </w:p>
        </w:tc>
        <w:tc>
          <w:tcPr>
            <w:tcW w:w="640" w:type="dxa"/>
            <w:tcBorders>
              <w:top w:val="single" w:sz="4" w:space="0" w:color="000080"/>
              <w:bottom w:val="single" w:sz="4" w:space="0" w:color="000080"/>
            </w:tcBorders>
            <w:shd w:val="clear" w:color="auto" w:fill="auto"/>
            <w:vAlign w:val="center"/>
          </w:tcPr>
          <w:p w14:paraId="56583C5F" w14:textId="77777777" w:rsidR="00061155" w:rsidRDefault="00061155">
            <w:pPr>
              <w:spacing w:line="240" w:lineRule="auto"/>
              <w:ind w:firstLine="0"/>
              <w:jc w:val="center"/>
            </w:pPr>
            <w:r>
              <w:rPr>
                <w:rFonts w:cs="Calibri"/>
                <w:color w:val="000000"/>
                <w:sz w:val="16"/>
                <w:szCs w:val="16"/>
              </w:rPr>
              <w:t>4</w:t>
            </w:r>
          </w:p>
        </w:tc>
        <w:tc>
          <w:tcPr>
            <w:tcW w:w="669" w:type="dxa"/>
            <w:tcBorders>
              <w:top w:val="single" w:sz="4" w:space="0" w:color="000080"/>
              <w:bottom w:val="single" w:sz="4" w:space="0" w:color="000080"/>
            </w:tcBorders>
            <w:shd w:val="clear" w:color="auto" w:fill="auto"/>
            <w:vAlign w:val="center"/>
          </w:tcPr>
          <w:p w14:paraId="1210F4B6" w14:textId="77777777" w:rsidR="00061155" w:rsidRDefault="00061155">
            <w:pPr>
              <w:spacing w:line="240" w:lineRule="auto"/>
              <w:ind w:firstLine="0"/>
              <w:jc w:val="center"/>
            </w:pPr>
            <w:r>
              <w:rPr>
                <w:rFonts w:cs="Calibri"/>
                <w:color w:val="000000"/>
                <w:sz w:val="16"/>
                <w:szCs w:val="16"/>
              </w:rPr>
              <w:t>10</w:t>
            </w:r>
          </w:p>
        </w:tc>
        <w:tc>
          <w:tcPr>
            <w:tcW w:w="616" w:type="dxa"/>
            <w:tcBorders>
              <w:top w:val="single" w:sz="4" w:space="0" w:color="000080"/>
              <w:bottom w:val="single" w:sz="4" w:space="0" w:color="000080"/>
            </w:tcBorders>
            <w:shd w:val="clear" w:color="auto" w:fill="auto"/>
            <w:vAlign w:val="center"/>
          </w:tcPr>
          <w:p w14:paraId="2F88A8AF" w14:textId="77777777" w:rsidR="00061155" w:rsidRDefault="00061155">
            <w:pPr>
              <w:spacing w:line="240" w:lineRule="auto"/>
              <w:ind w:firstLine="0"/>
              <w:jc w:val="center"/>
            </w:pPr>
            <w:r>
              <w:rPr>
                <w:rFonts w:cs="Calibri"/>
                <w:color w:val="000000"/>
                <w:sz w:val="16"/>
                <w:szCs w:val="16"/>
              </w:rPr>
              <w:t>1</w:t>
            </w:r>
          </w:p>
        </w:tc>
        <w:tc>
          <w:tcPr>
            <w:tcW w:w="463" w:type="dxa"/>
            <w:tcBorders>
              <w:top w:val="single" w:sz="4" w:space="0" w:color="000080"/>
              <w:bottom w:val="single" w:sz="4" w:space="0" w:color="000080"/>
            </w:tcBorders>
            <w:shd w:val="clear" w:color="auto" w:fill="auto"/>
            <w:vAlign w:val="center"/>
          </w:tcPr>
          <w:p w14:paraId="28BC0EC1"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518EB909" w14:textId="77777777" w:rsidR="00061155" w:rsidRDefault="00061155">
            <w:pPr>
              <w:spacing w:line="240" w:lineRule="auto"/>
              <w:ind w:firstLine="0"/>
              <w:jc w:val="center"/>
            </w:pPr>
            <w:r>
              <w:rPr>
                <w:rFonts w:cs="Calibri"/>
                <w:color w:val="000000"/>
                <w:sz w:val="16"/>
                <w:szCs w:val="16"/>
              </w:rPr>
              <w:t>30</w:t>
            </w:r>
          </w:p>
        </w:tc>
        <w:tc>
          <w:tcPr>
            <w:tcW w:w="239" w:type="dxa"/>
            <w:tcBorders>
              <w:top w:val="single" w:sz="4" w:space="0" w:color="000080"/>
              <w:bottom w:val="single" w:sz="4" w:space="0" w:color="000080"/>
            </w:tcBorders>
            <w:shd w:val="clear" w:color="auto" w:fill="auto"/>
            <w:vAlign w:val="center"/>
          </w:tcPr>
          <w:p w14:paraId="6B5D6D93"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7A41A266" w14:textId="77777777" w:rsidR="00061155" w:rsidRDefault="00061155">
            <w:pPr>
              <w:spacing w:line="240" w:lineRule="auto"/>
              <w:ind w:firstLine="0"/>
              <w:jc w:val="center"/>
            </w:pPr>
            <w:r>
              <w:rPr>
                <w:rFonts w:cs="Calibri"/>
                <w:color w:val="000000"/>
                <w:sz w:val="16"/>
                <w:szCs w:val="16"/>
              </w:rPr>
              <w:t>1</w:t>
            </w:r>
          </w:p>
        </w:tc>
        <w:tc>
          <w:tcPr>
            <w:tcW w:w="609" w:type="dxa"/>
            <w:tcBorders>
              <w:top w:val="single" w:sz="4" w:space="0" w:color="000080"/>
              <w:bottom w:val="single" w:sz="4" w:space="0" w:color="000080"/>
            </w:tcBorders>
            <w:shd w:val="clear" w:color="auto" w:fill="auto"/>
            <w:vAlign w:val="center"/>
          </w:tcPr>
          <w:p w14:paraId="430028F4" w14:textId="77777777" w:rsidR="00061155" w:rsidRDefault="00061155">
            <w:pPr>
              <w:spacing w:line="240" w:lineRule="auto"/>
              <w:ind w:firstLine="0"/>
              <w:jc w:val="center"/>
            </w:pPr>
            <w:r>
              <w:rPr>
                <w:rFonts w:cs="Calibri"/>
                <w:color w:val="000000"/>
                <w:sz w:val="16"/>
                <w:szCs w:val="16"/>
              </w:rPr>
              <w:t>0</w:t>
            </w:r>
          </w:p>
        </w:tc>
        <w:tc>
          <w:tcPr>
            <w:tcW w:w="638" w:type="dxa"/>
            <w:tcBorders>
              <w:top w:val="single" w:sz="4" w:space="0" w:color="000080"/>
              <w:bottom w:val="single" w:sz="4" w:space="0" w:color="000080"/>
            </w:tcBorders>
            <w:shd w:val="clear" w:color="auto" w:fill="auto"/>
            <w:vAlign w:val="center"/>
          </w:tcPr>
          <w:p w14:paraId="782FE2E4" w14:textId="77777777" w:rsidR="00061155" w:rsidRDefault="00061155">
            <w:pPr>
              <w:spacing w:line="240" w:lineRule="auto"/>
              <w:ind w:firstLine="0"/>
              <w:jc w:val="center"/>
            </w:pPr>
            <w:r>
              <w:rPr>
                <w:rFonts w:cs="Calibri"/>
                <w:color w:val="000000"/>
                <w:sz w:val="16"/>
                <w:szCs w:val="16"/>
              </w:rPr>
              <w:t>4</w:t>
            </w:r>
          </w:p>
        </w:tc>
        <w:tc>
          <w:tcPr>
            <w:tcW w:w="586" w:type="dxa"/>
            <w:tcBorders>
              <w:top w:val="single" w:sz="4" w:space="0" w:color="000080"/>
              <w:bottom w:val="single" w:sz="4" w:space="0" w:color="000080"/>
            </w:tcBorders>
            <w:shd w:val="clear" w:color="auto" w:fill="auto"/>
            <w:vAlign w:val="center"/>
          </w:tcPr>
          <w:p w14:paraId="60204541" w14:textId="77777777" w:rsidR="00061155" w:rsidRDefault="00061155">
            <w:pPr>
              <w:spacing w:line="240" w:lineRule="auto"/>
              <w:ind w:firstLine="0"/>
              <w:jc w:val="center"/>
            </w:pPr>
            <w:r>
              <w:rPr>
                <w:rFonts w:cs="Calibri"/>
                <w:color w:val="000000"/>
                <w:sz w:val="16"/>
                <w:szCs w:val="16"/>
              </w:rPr>
              <w:t>0</w:t>
            </w:r>
          </w:p>
        </w:tc>
        <w:tc>
          <w:tcPr>
            <w:tcW w:w="432" w:type="dxa"/>
            <w:tcBorders>
              <w:top w:val="single" w:sz="4" w:space="0" w:color="000080"/>
              <w:bottom w:val="single" w:sz="4" w:space="0" w:color="000080"/>
            </w:tcBorders>
            <w:shd w:val="clear" w:color="auto" w:fill="auto"/>
            <w:vAlign w:val="center"/>
          </w:tcPr>
          <w:p w14:paraId="510DB557" w14:textId="77777777" w:rsidR="00061155" w:rsidRDefault="00061155">
            <w:pPr>
              <w:spacing w:line="240" w:lineRule="auto"/>
              <w:ind w:firstLine="0"/>
              <w:jc w:val="center"/>
            </w:pPr>
            <w:r>
              <w:rPr>
                <w:rFonts w:cs="Calibri"/>
                <w:color w:val="000000"/>
                <w:sz w:val="16"/>
                <w:szCs w:val="16"/>
              </w:rPr>
              <w:t>0</w:t>
            </w:r>
          </w:p>
        </w:tc>
        <w:tc>
          <w:tcPr>
            <w:tcW w:w="515" w:type="dxa"/>
            <w:tcBorders>
              <w:top w:val="single" w:sz="4" w:space="0" w:color="000080"/>
              <w:bottom w:val="single" w:sz="4" w:space="0" w:color="000080"/>
            </w:tcBorders>
            <w:shd w:val="clear" w:color="auto" w:fill="auto"/>
            <w:vAlign w:val="center"/>
          </w:tcPr>
          <w:p w14:paraId="15F2A592" w14:textId="77777777" w:rsidR="00061155" w:rsidRDefault="00061155">
            <w:pPr>
              <w:spacing w:line="240" w:lineRule="auto"/>
              <w:ind w:firstLine="0"/>
              <w:jc w:val="center"/>
            </w:pPr>
            <w:r>
              <w:rPr>
                <w:rFonts w:cs="Calibri"/>
                <w:color w:val="000000"/>
                <w:sz w:val="16"/>
                <w:szCs w:val="16"/>
              </w:rPr>
              <w:t>5</w:t>
            </w:r>
          </w:p>
        </w:tc>
        <w:tc>
          <w:tcPr>
            <w:tcW w:w="239" w:type="dxa"/>
            <w:tcBorders>
              <w:top w:val="single" w:sz="4" w:space="0" w:color="000080"/>
              <w:bottom w:val="single" w:sz="4" w:space="0" w:color="000080"/>
            </w:tcBorders>
            <w:shd w:val="clear" w:color="auto" w:fill="auto"/>
            <w:vAlign w:val="center"/>
          </w:tcPr>
          <w:p w14:paraId="18C69926"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15EE08BF" w14:textId="77777777" w:rsidR="00061155" w:rsidRDefault="00061155">
            <w:pPr>
              <w:spacing w:line="240" w:lineRule="auto"/>
              <w:ind w:firstLine="0"/>
              <w:jc w:val="center"/>
            </w:pPr>
            <w:r>
              <w:rPr>
                <w:rFonts w:cs="Calibri"/>
                <w:color w:val="000000"/>
                <w:sz w:val="16"/>
                <w:szCs w:val="16"/>
              </w:rPr>
              <w:t>35</w:t>
            </w:r>
          </w:p>
        </w:tc>
      </w:tr>
      <w:tr w:rsidR="00061155" w14:paraId="326A72F7" w14:textId="77777777">
        <w:trPr>
          <w:trHeight w:val="244"/>
        </w:trPr>
        <w:tc>
          <w:tcPr>
            <w:tcW w:w="6231" w:type="dxa"/>
            <w:tcBorders>
              <w:top w:val="single" w:sz="4" w:space="0" w:color="000080"/>
              <w:bottom w:val="single" w:sz="4" w:space="0" w:color="000080"/>
            </w:tcBorders>
            <w:shd w:val="clear" w:color="auto" w:fill="auto"/>
            <w:vAlign w:val="center"/>
          </w:tcPr>
          <w:p w14:paraId="06430C4F" w14:textId="77777777" w:rsidR="00061155" w:rsidRDefault="00061155">
            <w:pPr>
              <w:pStyle w:val="Paragrafoelenco"/>
              <w:numPr>
                <w:ilvl w:val="0"/>
                <w:numId w:val="4"/>
              </w:numPr>
              <w:spacing w:line="240" w:lineRule="auto"/>
            </w:pPr>
            <w:r>
              <w:rPr>
                <w:rFonts w:cs="Calibri"/>
                <w:color w:val="000000"/>
                <w:sz w:val="16"/>
                <w:szCs w:val="16"/>
              </w:rPr>
              <w:t>Do something easily or efficiently</w:t>
            </w:r>
          </w:p>
        </w:tc>
        <w:tc>
          <w:tcPr>
            <w:tcW w:w="239" w:type="dxa"/>
            <w:tcBorders>
              <w:top w:val="single" w:sz="4" w:space="0" w:color="000080"/>
              <w:bottom w:val="single" w:sz="4" w:space="0" w:color="000080"/>
            </w:tcBorders>
            <w:shd w:val="clear" w:color="auto" w:fill="auto"/>
          </w:tcPr>
          <w:p w14:paraId="553BD624"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7392F9B1" w14:textId="77777777" w:rsidR="00061155" w:rsidRDefault="00061155">
            <w:pPr>
              <w:spacing w:line="240" w:lineRule="auto"/>
              <w:ind w:firstLine="0"/>
              <w:jc w:val="center"/>
            </w:pPr>
            <w:r>
              <w:rPr>
                <w:rFonts w:cs="Calibri"/>
                <w:color w:val="000000"/>
                <w:sz w:val="16"/>
                <w:szCs w:val="16"/>
              </w:rPr>
              <w:t>3</w:t>
            </w:r>
          </w:p>
        </w:tc>
        <w:tc>
          <w:tcPr>
            <w:tcW w:w="640" w:type="dxa"/>
            <w:tcBorders>
              <w:top w:val="single" w:sz="4" w:space="0" w:color="000080"/>
              <w:bottom w:val="single" w:sz="4" w:space="0" w:color="000080"/>
            </w:tcBorders>
            <w:shd w:val="clear" w:color="auto" w:fill="auto"/>
            <w:vAlign w:val="center"/>
          </w:tcPr>
          <w:p w14:paraId="6881FA9A" w14:textId="77777777" w:rsidR="00061155" w:rsidRDefault="00061155">
            <w:pPr>
              <w:spacing w:line="240" w:lineRule="auto"/>
              <w:ind w:firstLine="0"/>
              <w:jc w:val="center"/>
            </w:pPr>
            <w:r>
              <w:rPr>
                <w:rFonts w:cs="Calibri"/>
                <w:color w:val="000000"/>
                <w:sz w:val="16"/>
                <w:szCs w:val="16"/>
              </w:rPr>
              <w:t>2</w:t>
            </w:r>
          </w:p>
        </w:tc>
        <w:tc>
          <w:tcPr>
            <w:tcW w:w="669" w:type="dxa"/>
            <w:tcBorders>
              <w:top w:val="single" w:sz="4" w:space="0" w:color="000080"/>
              <w:bottom w:val="single" w:sz="4" w:space="0" w:color="000080"/>
            </w:tcBorders>
            <w:shd w:val="clear" w:color="auto" w:fill="auto"/>
            <w:vAlign w:val="center"/>
          </w:tcPr>
          <w:p w14:paraId="5D77D729" w14:textId="77777777" w:rsidR="00061155" w:rsidRDefault="00061155">
            <w:pPr>
              <w:spacing w:line="240" w:lineRule="auto"/>
              <w:ind w:firstLine="0"/>
              <w:jc w:val="center"/>
            </w:pPr>
            <w:r>
              <w:rPr>
                <w:rFonts w:cs="Calibri"/>
                <w:color w:val="000000"/>
                <w:sz w:val="16"/>
                <w:szCs w:val="16"/>
              </w:rPr>
              <w:t>11</w:t>
            </w:r>
          </w:p>
        </w:tc>
        <w:tc>
          <w:tcPr>
            <w:tcW w:w="616" w:type="dxa"/>
            <w:tcBorders>
              <w:top w:val="single" w:sz="4" w:space="0" w:color="000080"/>
              <w:bottom w:val="single" w:sz="4" w:space="0" w:color="000080"/>
            </w:tcBorders>
            <w:shd w:val="clear" w:color="auto" w:fill="auto"/>
            <w:vAlign w:val="center"/>
          </w:tcPr>
          <w:p w14:paraId="59862B57" w14:textId="77777777" w:rsidR="00061155" w:rsidRDefault="00061155">
            <w:pPr>
              <w:spacing w:line="240" w:lineRule="auto"/>
              <w:ind w:firstLine="0"/>
              <w:jc w:val="center"/>
            </w:pPr>
            <w:r>
              <w:rPr>
                <w:rFonts w:cs="Calibri"/>
                <w:color w:val="000000"/>
                <w:sz w:val="16"/>
                <w:szCs w:val="16"/>
              </w:rPr>
              <w:t>1</w:t>
            </w:r>
          </w:p>
        </w:tc>
        <w:tc>
          <w:tcPr>
            <w:tcW w:w="463" w:type="dxa"/>
            <w:tcBorders>
              <w:top w:val="single" w:sz="4" w:space="0" w:color="000080"/>
              <w:bottom w:val="single" w:sz="4" w:space="0" w:color="000080"/>
            </w:tcBorders>
            <w:shd w:val="clear" w:color="auto" w:fill="auto"/>
            <w:vAlign w:val="center"/>
          </w:tcPr>
          <w:p w14:paraId="0B399495"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3B05C1CA" w14:textId="77777777" w:rsidR="00061155" w:rsidRDefault="00061155">
            <w:pPr>
              <w:spacing w:line="240" w:lineRule="auto"/>
              <w:ind w:firstLine="0"/>
              <w:jc w:val="center"/>
            </w:pPr>
            <w:r>
              <w:rPr>
                <w:rFonts w:cs="Calibri"/>
                <w:color w:val="000000"/>
                <w:sz w:val="16"/>
                <w:szCs w:val="16"/>
              </w:rPr>
              <w:t>17</w:t>
            </w:r>
          </w:p>
        </w:tc>
        <w:tc>
          <w:tcPr>
            <w:tcW w:w="239" w:type="dxa"/>
            <w:tcBorders>
              <w:top w:val="single" w:sz="4" w:space="0" w:color="000080"/>
              <w:bottom w:val="single" w:sz="4" w:space="0" w:color="000080"/>
            </w:tcBorders>
            <w:shd w:val="clear" w:color="auto" w:fill="auto"/>
            <w:vAlign w:val="center"/>
          </w:tcPr>
          <w:p w14:paraId="66E83BEC"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764FA8E5" w14:textId="77777777" w:rsidR="00061155" w:rsidRDefault="00061155">
            <w:pPr>
              <w:spacing w:line="240" w:lineRule="auto"/>
              <w:ind w:firstLine="0"/>
              <w:jc w:val="center"/>
            </w:pPr>
            <w:r>
              <w:rPr>
                <w:rFonts w:cs="Calibri"/>
                <w:color w:val="000000"/>
                <w:sz w:val="16"/>
                <w:szCs w:val="16"/>
              </w:rPr>
              <w:t>2</w:t>
            </w:r>
          </w:p>
        </w:tc>
        <w:tc>
          <w:tcPr>
            <w:tcW w:w="609" w:type="dxa"/>
            <w:tcBorders>
              <w:top w:val="single" w:sz="4" w:space="0" w:color="000080"/>
              <w:bottom w:val="single" w:sz="4" w:space="0" w:color="000080"/>
            </w:tcBorders>
            <w:shd w:val="clear" w:color="auto" w:fill="auto"/>
            <w:vAlign w:val="center"/>
          </w:tcPr>
          <w:p w14:paraId="690F4310" w14:textId="77777777" w:rsidR="00061155" w:rsidRDefault="00061155">
            <w:pPr>
              <w:spacing w:line="240" w:lineRule="auto"/>
              <w:ind w:firstLine="0"/>
              <w:jc w:val="center"/>
            </w:pPr>
            <w:r>
              <w:rPr>
                <w:rFonts w:cs="Calibri"/>
                <w:color w:val="000000"/>
                <w:sz w:val="16"/>
                <w:szCs w:val="16"/>
              </w:rPr>
              <w:t>0</w:t>
            </w:r>
          </w:p>
        </w:tc>
        <w:tc>
          <w:tcPr>
            <w:tcW w:w="638" w:type="dxa"/>
            <w:tcBorders>
              <w:top w:val="single" w:sz="4" w:space="0" w:color="000080"/>
              <w:bottom w:val="single" w:sz="4" w:space="0" w:color="000080"/>
            </w:tcBorders>
            <w:shd w:val="clear" w:color="auto" w:fill="auto"/>
            <w:vAlign w:val="center"/>
          </w:tcPr>
          <w:p w14:paraId="098CAFFB" w14:textId="77777777" w:rsidR="00061155" w:rsidRDefault="00061155">
            <w:pPr>
              <w:spacing w:line="240" w:lineRule="auto"/>
              <w:ind w:firstLine="0"/>
              <w:jc w:val="center"/>
            </w:pPr>
            <w:r>
              <w:rPr>
                <w:rFonts w:cs="Calibri"/>
                <w:color w:val="000000"/>
                <w:sz w:val="16"/>
                <w:szCs w:val="16"/>
              </w:rPr>
              <w:t>6</w:t>
            </w:r>
          </w:p>
        </w:tc>
        <w:tc>
          <w:tcPr>
            <w:tcW w:w="586" w:type="dxa"/>
            <w:tcBorders>
              <w:top w:val="single" w:sz="4" w:space="0" w:color="000080"/>
              <w:bottom w:val="single" w:sz="4" w:space="0" w:color="000080"/>
            </w:tcBorders>
            <w:shd w:val="clear" w:color="auto" w:fill="auto"/>
            <w:vAlign w:val="center"/>
          </w:tcPr>
          <w:p w14:paraId="7547EAA0" w14:textId="77777777" w:rsidR="00061155" w:rsidRDefault="00061155">
            <w:pPr>
              <w:spacing w:line="240" w:lineRule="auto"/>
              <w:ind w:firstLine="0"/>
              <w:jc w:val="center"/>
            </w:pPr>
            <w:r>
              <w:rPr>
                <w:rFonts w:cs="Calibri"/>
                <w:color w:val="000000"/>
                <w:sz w:val="16"/>
                <w:szCs w:val="16"/>
              </w:rPr>
              <w:t>0</w:t>
            </w:r>
          </w:p>
        </w:tc>
        <w:tc>
          <w:tcPr>
            <w:tcW w:w="432" w:type="dxa"/>
            <w:tcBorders>
              <w:top w:val="single" w:sz="4" w:space="0" w:color="000080"/>
              <w:bottom w:val="single" w:sz="4" w:space="0" w:color="000080"/>
            </w:tcBorders>
            <w:shd w:val="clear" w:color="auto" w:fill="auto"/>
            <w:vAlign w:val="center"/>
          </w:tcPr>
          <w:p w14:paraId="6300F00A" w14:textId="77777777" w:rsidR="00061155" w:rsidRDefault="00061155">
            <w:pPr>
              <w:spacing w:line="240" w:lineRule="auto"/>
              <w:ind w:firstLine="0"/>
              <w:jc w:val="center"/>
            </w:pPr>
            <w:r>
              <w:rPr>
                <w:rFonts w:cs="Calibri"/>
                <w:color w:val="000000"/>
                <w:sz w:val="16"/>
                <w:szCs w:val="16"/>
              </w:rPr>
              <w:t>0</w:t>
            </w:r>
          </w:p>
        </w:tc>
        <w:tc>
          <w:tcPr>
            <w:tcW w:w="515" w:type="dxa"/>
            <w:tcBorders>
              <w:top w:val="single" w:sz="4" w:space="0" w:color="000080"/>
              <w:bottom w:val="single" w:sz="4" w:space="0" w:color="000080"/>
            </w:tcBorders>
            <w:shd w:val="clear" w:color="auto" w:fill="auto"/>
            <w:vAlign w:val="center"/>
          </w:tcPr>
          <w:p w14:paraId="36058979" w14:textId="77777777" w:rsidR="00061155" w:rsidRDefault="00061155">
            <w:pPr>
              <w:spacing w:line="240" w:lineRule="auto"/>
              <w:ind w:firstLine="0"/>
              <w:jc w:val="center"/>
            </w:pPr>
            <w:r>
              <w:rPr>
                <w:rFonts w:cs="Calibri"/>
                <w:color w:val="000000"/>
                <w:sz w:val="16"/>
                <w:szCs w:val="16"/>
              </w:rPr>
              <w:t>8</w:t>
            </w:r>
          </w:p>
        </w:tc>
        <w:tc>
          <w:tcPr>
            <w:tcW w:w="239" w:type="dxa"/>
            <w:tcBorders>
              <w:top w:val="single" w:sz="4" w:space="0" w:color="000080"/>
              <w:bottom w:val="single" w:sz="4" w:space="0" w:color="000080"/>
            </w:tcBorders>
            <w:shd w:val="clear" w:color="auto" w:fill="auto"/>
            <w:vAlign w:val="center"/>
          </w:tcPr>
          <w:p w14:paraId="0D77B8A2"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44F2D1E1" w14:textId="77777777" w:rsidR="00061155" w:rsidRDefault="00061155">
            <w:pPr>
              <w:spacing w:line="240" w:lineRule="auto"/>
              <w:ind w:firstLine="0"/>
              <w:jc w:val="center"/>
            </w:pPr>
            <w:r>
              <w:rPr>
                <w:rFonts w:cs="Calibri"/>
                <w:color w:val="000000"/>
                <w:sz w:val="16"/>
                <w:szCs w:val="16"/>
              </w:rPr>
              <w:t>25</w:t>
            </w:r>
          </w:p>
        </w:tc>
      </w:tr>
      <w:tr w:rsidR="00061155" w14:paraId="252A9CB2" w14:textId="77777777">
        <w:trPr>
          <w:trHeight w:val="244"/>
        </w:trPr>
        <w:tc>
          <w:tcPr>
            <w:tcW w:w="6231" w:type="dxa"/>
            <w:tcBorders>
              <w:top w:val="single" w:sz="4" w:space="0" w:color="000080"/>
              <w:bottom w:val="single" w:sz="4" w:space="0" w:color="000080"/>
            </w:tcBorders>
            <w:shd w:val="clear" w:color="auto" w:fill="auto"/>
            <w:vAlign w:val="center"/>
          </w:tcPr>
          <w:p w14:paraId="38C9397C" w14:textId="77777777" w:rsidR="00061155" w:rsidRDefault="00061155">
            <w:pPr>
              <w:pStyle w:val="Paragrafoelenco"/>
              <w:numPr>
                <w:ilvl w:val="0"/>
                <w:numId w:val="4"/>
              </w:numPr>
              <w:spacing w:line="240" w:lineRule="auto"/>
            </w:pPr>
            <w:r>
              <w:rPr>
                <w:rFonts w:cs="Calibri"/>
                <w:color w:val="000000"/>
                <w:sz w:val="16"/>
                <w:szCs w:val="16"/>
              </w:rPr>
              <w:t>Save time</w:t>
            </w:r>
          </w:p>
        </w:tc>
        <w:tc>
          <w:tcPr>
            <w:tcW w:w="239" w:type="dxa"/>
            <w:tcBorders>
              <w:top w:val="single" w:sz="4" w:space="0" w:color="000080"/>
              <w:bottom w:val="single" w:sz="4" w:space="0" w:color="000080"/>
            </w:tcBorders>
            <w:shd w:val="clear" w:color="auto" w:fill="auto"/>
          </w:tcPr>
          <w:p w14:paraId="1AAF1607"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49ECC510" w14:textId="77777777" w:rsidR="00061155" w:rsidRDefault="00061155">
            <w:pPr>
              <w:spacing w:line="240" w:lineRule="auto"/>
              <w:ind w:firstLine="0"/>
              <w:jc w:val="center"/>
            </w:pPr>
            <w:r>
              <w:rPr>
                <w:rFonts w:cs="Calibri"/>
                <w:color w:val="000000"/>
                <w:sz w:val="16"/>
                <w:szCs w:val="16"/>
              </w:rPr>
              <w:t>2</w:t>
            </w:r>
          </w:p>
        </w:tc>
        <w:tc>
          <w:tcPr>
            <w:tcW w:w="640" w:type="dxa"/>
            <w:tcBorders>
              <w:top w:val="single" w:sz="4" w:space="0" w:color="000080"/>
              <w:bottom w:val="single" w:sz="4" w:space="0" w:color="000080"/>
            </w:tcBorders>
            <w:shd w:val="clear" w:color="auto" w:fill="auto"/>
            <w:vAlign w:val="center"/>
          </w:tcPr>
          <w:p w14:paraId="1B50CB56" w14:textId="77777777" w:rsidR="00061155" w:rsidRDefault="00061155">
            <w:pPr>
              <w:spacing w:line="240" w:lineRule="auto"/>
              <w:ind w:firstLine="0"/>
              <w:jc w:val="center"/>
            </w:pPr>
            <w:r>
              <w:rPr>
                <w:rFonts w:cs="Calibri"/>
                <w:color w:val="000000"/>
                <w:sz w:val="16"/>
                <w:szCs w:val="16"/>
              </w:rPr>
              <w:t>0</w:t>
            </w:r>
          </w:p>
        </w:tc>
        <w:tc>
          <w:tcPr>
            <w:tcW w:w="669" w:type="dxa"/>
            <w:tcBorders>
              <w:top w:val="single" w:sz="4" w:space="0" w:color="000080"/>
              <w:bottom w:val="single" w:sz="4" w:space="0" w:color="000080"/>
            </w:tcBorders>
            <w:shd w:val="clear" w:color="auto" w:fill="auto"/>
            <w:vAlign w:val="center"/>
          </w:tcPr>
          <w:p w14:paraId="05955187" w14:textId="77777777" w:rsidR="00061155" w:rsidRDefault="00061155">
            <w:pPr>
              <w:spacing w:line="240" w:lineRule="auto"/>
              <w:ind w:firstLine="0"/>
              <w:jc w:val="center"/>
            </w:pPr>
            <w:r>
              <w:rPr>
                <w:rFonts w:cs="Calibri"/>
                <w:color w:val="000000"/>
                <w:sz w:val="16"/>
                <w:szCs w:val="16"/>
              </w:rPr>
              <w:t>8</w:t>
            </w:r>
          </w:p>
        </w:tc>
        <w:tc>
          <w:tcPr>
            <w:tcW w:w="616" w:type="dxa"/>
            <w:tcBorders>
              <w:top w:val="single" w:sz="4" w:space="0" w:color="000080"/>
              <w:bottom w:val="single" w:sz="4" w:space="0" w:color="000080"/>
            </w:tcBorders>
            <w:shd w:val="clear" w:color="auto" w:fill="auto"/>
            <w:vAlign w:val="center"/>
          </w:tcPr>
          <w:p w14:paraId="4C654CC2" w14:textId="77777777" w:rsidR="00061155" w:rsidRDefault="00061155">
            <w:pPr>
              <w:spacing w:line="240" w:lineRule="auto"/>
              <w:ind w:firstLine="0"/>
              <w:jc w:val="center"/>
            </w:pPr>
            <w:r>
              <w:rPr>
                <w:rFonts w:cs="Calibri"/>
                <w:color w:val="000000"/>
                <w:sz w:val="16"/>
                <w:szCs w:val="16"/>
              </w:rPr>
              <w:t>0</w:t>
            </w:r>
          </w:p>
        </w:tc>
        <w:tc>
          <w:tcPr>
            <w:tcW w:w="463" w:type="dxa"/>
            <w:tcBorders>
              <w:top w:val="single" w:sz="4" w:space="0" w:color="000080"/>
              <w:bottom w:val="single" w:sz="4" w:space="0" w:color="000080"/>
            </w:tcBorders>
            <w:shd w:val="clear" w:color="auto" w:fill="auto"/>
            <w:vAlign w:val="center"/>
          </w:tcPr>
          <w:p w14:paraId="653E8877"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2B061CD7" w14:textId="77777777" w:rsidR="00061155" w:rsidRDefault="00061155">
            <w:pPr>
              <w:spacing w:line="240" w:lineRule="auto"/>
              <w:ind w:firstLine="0"/>
              <w:jc w:val="center"/>
            </w:pPr>
            <w:r>
              <w:rPr>
                <w:rFonts w:cs="Calibri"/>
                <w:color w:val="000000"/>
                <w:sz w:val="16"/>
                <w:szCs w:val="16"/>
              </w:rPr>
              <w:t>10</w:t>
            </w:r>
          </w:p>
        </w:tc>
        <w:tc>
          <w:tcPr>
            <w:tcW w:w="239" w:type="dxa"/>
            <w:tcBorders>
              <w:top w:val="single" w:sz="4" w:space="0" w:color="000080"/>
              <w:bottom w:val="single" w:sz="4" w:space="0" w:color="000080"/>
            </w:tcBorders>
            <w:shd w:val="clear" w:color="auto" w:fill="auto"/>
            <w:vAlign w:val="center"/>
          </w:tcPr>
          <w:p w14:paraId="248D3541"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5840CD96" w14:textId="77777777" w:rsidR="00061155" w:rsidRDefault="00061155">
            <w:pPr>
              <w:spacing w:line="240" w:lineRule="auto"/>
              <w:ind w:firstLine="0"/>
              <w:jc w:val="center"/>
            </w:pPr>
            <w:r>
              <w:rPr>
                <w:rFonts w:cs="Calibri"/>
                <w:color w:val="000000"/>
                <w:sz w:val="16"/>
                <w:szCs w:val="16"/>
              </w:rPr>
              <w:t>1</w:t>
            </w:r>
          </w:p>
        </w:tc>
        <w:tc>
          <w:tcPr>
            <w:tcW w:w="609" w:type="dxa"/>
            <w:tcBorders>
              <w:top w:val="single" w:sz="4" w:space="0" w:color="000080"/>
              <w:bottom w:val="single" w:sz="4" w:space="0" w:color="000080"/>
            </w:tcBorders>
            <w:shd w:val="clear" w:color="auto" w:fill="auto"/>
            <w:vAlign w:val="center"/>
          </w:tcPr>
          <w:p w14:paraId="491BDE91" w14:textId="77777777" w:rsidR="00061155" w:rsidRDefault="00061155">
            <w:pPr>
              <w:spacing w:line="240" w:lineRule="auto"/>
              <w:ind w:firstLine="0"/>
              <w:jc w:val="center"/>
            </w:pPr>
            <w:r>
              <w:rPr>
                <w:rFonts w:cs="Calibri"/>
                <w:color w:val="000000"/>
                <w:sz w:val="16"/>
                <w:szCs w:val="16"/>
              </w:rPr>
              <w:t>7</w:t>
            </w:r>
          </w:p>
        </w:tc>
        <w:tc>
          <w:tcPr>
            <w:tcW w:w="638" w:type="dxa"/>
            <w:tcBorders>
              <w:top w:val="single" w:sz="4" w:space="0" w:color="000080"/>
              <w:bottom w:val="single" w:sz="4" w:space="0" w:color="000080"/>
            </w:tcBorders>
            <w:shd w:val="clear" w:color="auto" w:fill="auto"/>
            <w:vAlign w:val="center"/>
          </w:tcPr>
          <w:p w14:paraId="4D3629CE" w14:textId="77777777" w:rsidR="00061155" w:rsidRDefault="00061155">
            <w:pPr>
              <w:spacing w:line="240" w:lineRule="auto"/>
              <w:ind w:firstLine="0"/>
              <w:jc w:val="center"/>
            </w:pPr>
            <w:r>
              <w:rPr>
                <w:rFonts w:cs="Calibri"/>
                <w:color w:val="000000"/>
                <w:sz w:val="16"/>
                <w:szCs w:val="16"/>
              </w:rPr>
              <w:t>22</w:t>
            </w:r>
          </w:p>
        </w:tc>
        <w:tc>
          <w:tcPr>
            <w:tcW w:w="586" w:type="dxa"/>
            <w:tcBorders>
              <w:top w:val="single" w:sz="4" w:space="0" w:color="000080"/>
              <w:bottom w:val="single" w:sz="4" w:space="0" w:color="000080"/>
            </w:tcBorders>
            <w:shd w:val="clear" w:color="auto" w:fill="auto"/>
            <w:vAlign w:val="center"/>
          </w:tcPr>
          <w:p w14:paraId="31EEA877" w14:textId="77777777" w:rsidR="00061155" w:rsidRDefault="00061155">
            <w:pPr>
              <w:spacing w:line="240" w:lineRule="auto"/>
              <w:ind w:firstLine="0"/>
              <w:jc w:val="center"/>
            </w:pPr>
            <w:r>
              <w:rPr>
                <w:rFonts w:cs="Calibri"/>
                <w:color w:val="000000"/>
                <w:sz w:val="16"/>
                <w:szCs w:val="16"/>
              </w:rPr>
              <w:t>1</w:t>
            </w:r>
          </w:p>
        </w:tc>
        <w:tc>
          <w:tcPr>
            <w:tcW w:w="432" w:type="dxa"/>
            <w:tcBorders>
              <w:top w:val="single" w:sz="4" w:space="0" w:color="000080"/>
              <w:bottom w:val="single" w:sz="4" w:space="0" w:color="000080"/>
            </w:tcBorders>
            <w:shd w:val="clear" w:color="auto" w:fill="auto"/>
            <w:vAlign w:val="center"/>
          </w:tcPr>
          <w:p w14:paraId="2BC1B4E6" w14:textId="77777777" w:rsidR="00061155" w:rsidRDefault="00061155">
            <w:pPr>
              <w:spacing w:line="240" w:lineRule="auto"/>
              <w:ind w:firstLine="0"/>
              <w:jc w:val="center"/>
            </w:pPr>
            <w:r>
              <w:rPr>
                <w:rFonts w:cs="Calibri"/>
                <w:color w:val="000000"/>
                <w:sz w:val="16"/>
                <w:szCs w:val="16"/>
              </w:rPr>
              <w:t>2</w:t>
            </w:r>
          </w:p>
        </w:tc>
        <w:tc>
          <w:tcPr>
            <w:tcW w:w="515" w:type="dxa"/>
            <w:tcBorders>
              <w:top w:val="single" w:sz="4" w:space="0" w:color="000080"/>
              <w:bottom w:val="single" w:sz="4" w:space="0" w:color="000080"/>
            </w:tcBorders>
            <w:shd w:val="clear" w:color="auto" w:fill="auto"/>
            <w:vAlign w:val="center"/>
          </w:tcPr>
          <w:p w14:paraId="4145A2F6" w14:textId="77777777" w:rsidR="00061155" w:rsidRDefault="00061155">
            <w:pPr>
              <w:spacing w:line="240" w:lineRule="auto"/>
              <w:ind w:firstLine="0"/>
              <w:jc w:val="center"/>
            </w:pPr>
            <w:r>
              <w:rPr>
                <w:rFonts w:cs="Calibri"/>
                <w:color w:val="000000"/>
                <w:sz w:val="16"/>
                <w:szCs w:val="16"/>
              </w:rPr>
              <w:t>33</w:t>
            </w:r>
          </w:p>
        </w:tc>
        <w:tc>
          <w:tcPr>
            <w:tcW w:w="239" w:type="dxa"/>
            <w:tcBorders>
              <w:top w:val="single" w:sz="4" w:space="0" w:color="000080"/>
              <w:bottom w:val="single" w:sz="4" w:space="0" w:color="000080"/>
            </w:tcBorders>
            <w:shd w:val="clear" w:color="auto" w:fill="auto"/>
            <w:vAlign w:val="center"/>
          </w:tcPr>
          <w:p w14:paraId="2789952E"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642CC912" w14:textId="77777777" w:rsidR="00061155" w:rsidRDefault="00061155">
            <w:pPr>
              <w:spacing w:line="240" w:lineRule="auto"/>
              <w:ind w:firstLine="0"/>
              <w:jc w:val="center"/>
            </w:pPr>
            <w:r>
              <w:rPr>
                <w:rFonts w:cs="Calibri"/>
                <w:color w:val="000000"/>
                <w:sz w:val="16"/>
                <w:szCs w:val="16"/>
              </w:rPr>
              <w:t>43</w:t>
            </w:r>
          </w:p>
        </w:tc>
      </w:tr>
      <w:tr w:rsidR="00061155" w14:paraId="11C75DC9" w14:textId="77777777">
        <w:trPr>
          <w:trHeight w:val="244"/>
        </w:trPr>
        <w:tc>
          <w:tcPr>
            <w:tcW w:w="6231" w:type="dxa"/>
            <w:tcBorders>
              <w:top w:val="single" w:sz="4" w:space="0" w:color="000080"/>
              <w:bottom w:val="single" w:sz="4" w:space="0" w:color="000080"/>
            </w:tcBorders>
            <w:shd w:val="clear" w:color="auto" w:fill="auto"/>
            <w:vAlign w:val="center"/>
          </w:tcPr>
          <w:p w14:paraId="6ECA1461" w14:textId="77777777" w:rsidR="00061155" w:rsidRDefault="00061155">
            <w:pPr>
              <w:pStyle w:val="Paragrafoelenco"/>
              <w:numPr>
                <w:ilvl w:val="0"/>
                <w:numId w:val="4"/>
              </w:numPr>
              <w:spacing w:line="240" w:lineRule="auto"/>
            </w:pPr>
            <w:r>
              <w:rPr>
                <w:rFonts w:cs="Calibri"/>
                <w:color w:val="000000"/>
                <w:sz w:val="16"/>
                <w:szCs w:val="16"/>
              </w:rPr>
              <w:t>Avoid or manage things you do not care about (e.g. tasks, people, situations, commitments, responsibilities), do just what you care about</w:t>
            </w:r>
          </w:p>
        </w:tc>
        <w:tc>
          <w:tcPr>
            <w:tcW w:w="239" w:type="dxa"/>
            <w:tcBorders>
              <w:top w:val="single" w:sz="4" w:space="0" w:color="000080"/>
              <w:bottom w:val="single" w:sz="4" w:space="0" w:color="000080"/>
            </w:tcBorders>
            <w:shd w:val="clear" w:color="auto" w:fill="auto"/>
          </w:tcPr>
          <w:p w14:paraId="597CC486"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228C291D" w14:textId="77777777" w:rsidR="00061155" w:rsidRDefault="00061155">
            <w:pPr>
              <w:spacing w:line="240" w:lineRule="auto"/>
              <w:ind w:firstLine="0"/>
              <w:jc w:val="center"/>
            </w:pPr>
            <w:r>
              <w:rPr>
                <w:rFonts w:cs="Calibri"/>
                <w:color w:val="000000"/>
                <w:sz w:val="16"/>
                <w:szCs w:val="16"/>
              </w:rPr>
              <w:t>2</w:t>
            </w:r>
          </w:p>
        </w:tc>
        <w:tc>
          <w:tcPr>
            <w:tcW w:w="640" w:type="dxa"/>
            <w:tcBorders>
              <w:top w:val="single" w:sz="4" w:space="0" w:color="000080"/>
              <w:bottom w:val="single" w:sz="4" w:space="0" w:color="000080"/>
            </w:tcBorders>
            <w:shd w:val="clear" w:color="auto" w:fill="auto"/>
            <w:vAlign w:val="center"/>
          </w:tcPr>
          <w:p w14:paraId="76120E9B" w14:textId="77777777" w:rsidR="00061155" w:rsidRDefault="00061155">
            <w:pPr>
              <w:spacing w:line="240" w:lineRule="auto"/>
              <w:ind w:firstLine="0"/>
              <w:jc w:val="center"/>
            </w:pPr>
            <w:r>
              <w:rPr>
                <w:rFonts w:cs="Calibri"/>
                <w:color w:val="000000"/>
                <w:sz w:val="16"/>
                <w:szCs w:val="16"/>
              </w:rPr>
              <w:t>1</w:t>
            </w:r>
          </w:p>
        </w:tc>
        <w:tc>
          <w:tcPr>
            <w:tcW w:w="669" w:type="dxa"/>
            <w:tcBorders>
              <w:top w:val="single" w:sz="4" w:space="0" w:color="000080"/>
              <w:bottom w:val="single" w:sz="4" w:space="0" w:color="000080"/>
            </w:tcBorders>
            <w:shd w:val="clear" w:color="auto" w:fill="auto"/>
            <w:vAlign w:val="center"/>
          </w:tcPr>
          <w:p w14:paraId="2DC73EAE" w14:textId="77777777" w:rsidR="00061155" w:rsidRDefault="00061155">
            <w:pPr>
              <w:spacing w:line="240" w:lineRule="auto"/>
              <w:ind w:firstLine="0"/>
              <w:jc w:val="center"/>
            </w:pPr>
            <w:r>
              <w:rPr>
                <w:rFonts w:cs="Calibri"/>
                <w:color w:val="000000"/>
                <w:sz w:val="16"/>
                <w:szCs w:val="16"/>
              </w:rPr>
              <w:t>2</w:t>
            </w:r>
          </w:p>
        </w:tc>
        <w:tc>
          <w:tcPr>
            <w:tcW w:w="616" w:type="dxa"/>
            <w:tcBorders>
              <w:top w:val="single" w:sz="4" w:space="0" w:color="000080"/>
              <w:bottom w:val="single" w:sz="4" w:space="0" w:color="000080"/>
            </w:tcBorders>
            <w:shd w:val="clear" w:color="auto" w:fill="auto"/>
            <w:vAlign w:val="center"/>
          </w:tcPr>
          <w:p w14:paraId="4FBC621E" w14:textId="77777777" w:rsidR="00061155" w:rsidRDefault="00061155">
            <w:pPr>
              <w:spacing w:line="240" w:lineRule="auto"/>
              <w:ind w:firstLine="0"/>
              <w:jc w:val="center"/>
            </w:pPr>
            <w:r>
              <w:rPr>
                <w:rFonts w:cs="Calibri"/>
                <w:color w:val="000000"/>
                <w:sz w:val="16"/>
                <w:szCs w:val="16"/>
              </w:rPr>
              <w:t>1</w:t>
            </w:r>
          </w:p>
        </w:tc>
        <w:tc>
          <w:tcPr>
            <w:tcW w:w="463" w:type="dxa"/>
            <w:tcBorders>
              <w:top w:val="single" w:sz="4" w:space="0" w:color="000080"/>
              <w:bottom w:val="single" w:sz="4" w:space="0" w:color="000080"/>
            </w:tcBorders>
            <w:shd w:val="clear" w:color="auto" w:fill="auto"/>
            <w:vAlign w:val="center"/>
          </w:tcPr>
          <w:p w14:paraId="090CE8A0"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4F44FFCA" w14:textId="77777777" w:rsidR="00061155" w:rsidRDefault="00061155">
            <w:pPr>
              <w:spacing w:line="240" w:lineRule="auto"/>
              <w:ind w:firstLine="0"/>
              <w:jc w:val="center"/>
            </w:pPr>
            <w:r>
              <w:rPr>
                <w:rFonts w:cs="Calibri"/>
                <w:color w:val="000000"/>
                <w:sz w:val="16"/>
                <w:szCs w:val="16"/>
              </w:rPr>
              <w:t>6</w:t>
            </w:r>
          </w:p>
        </w:tc>
        <w:tc>
          <w:tcPr>
            <w:tcW w:w="239" w:type="dxa"/>
            <w:tcBorders>
              <w:top w:val="single" w:sz="4" w:space="0" w:color="000080"/>
              <w:bottom w:val="single" w:sz="4" w:space="0" w:color="000080"/>
            </w:tcBorders>
            <w:shd w:val="clear" w:color="auto" w:fill="auto"/>
            <w:vAlign w:val="center"/>
          </w:tcPr>
          <w:p w14:paraId="2515D508"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519A55EB" w14:textId="77777777" w:rsidR="00061155" w:rsidRDefault="00061155">
            <w:pPr>
              <w:spacing w:line="240" w:lineRule="auto"/>
              <w:ind w:firstLine="0"/>
              <w:jc w:val="center"/>
            </w:pPr>
            <w:r>
              <w:rPr>
                <w:rFonts w:cs="Calibri"/>
                <w:color w:val="000000"/>
                <w:sz w:val="16"/>
                <w:szCs w:val="16"/>
              </w:rPr>
              <w:t>62</w:t>
            </w:r>
          </w:p>
        </w:tc>
        <w:tc>
          <w:tcPr>
            <w:tcW w:w="609" w:type="dxa"/>
            <w:tcBorders>
              <w:top w:val="single" w:sz="4" w:space="0" w:color="000080"/>
              <w:bottom w:val="single" w:sz="4" w:space="0" w:color="000080"/>
            </w:tcBorders>
            <w:shd w:val="clear" w:color="auto" w:fill="auto"/>
            <w:vAlign w:val="center"/>
          </w:tcPr>
          <w:p w14:paraId="28DEF330" w14:textId="77777777" w:rsidR="00061155" w:rsidRDefault="00061155">
            <w:pPr>
              <w:spacing w:line="240" w:lineRule="auto"/>
              <w:ind w:firstLine="0"/>
              <w:jc w:val="center"/>
            </w:pPr>
            <w:r>
              <w:rPr>
                <w:rFonts w:cs="Calibri"/>
                <w:color w:val="000000"/>
                <w:sz w:val="16"/>
                <w:szCs w:val="16"/>
              </w:rPr>
              <w:t>2</w:t>
            </w:r>
          </w:p>
        </w:tc>
        <w:tc>
          <w:tcPr>
            <w:tcW w:w="638" w:type="dxa"/>
            <w:tcBorders>
              <w:top w:val="single" w:sz="4" w:space="0" w:color="000080"/>
              <w:bottom w:val="single" w:sz="4" w:space="0" w:color="000080"/>
            </w:tcBorders>
            <w:shd w:val="clear" w:color="auto" w:fill="auto"/>
            <w:vAlign w:val="center"/>
          </w:tcPr>
          <w:p w14:paraId="0C24319C" w14:textId="77777777" w:rsidR="00061155" w:rsidRDefault="00061155">
            <w:pPr>
              <w:spacing w:line="240" w:lineRule="auto"/>
              <w:ind w:firstLine="0"/>
              <w:jc w:val="center"/>
            </w:pPr>
            <w:r>
              <w:rPr>
                <w:rFonts w:cs="Calibri"/>
                <w:color w:val="000000"/>
                <w:sz w:val="16"/>
                <w:szCs w:val="16"/>
              </w:rPr>
              <w:t>27</w:t>
            </w:r>
          </w:p>
        </w:tc>
        <w:tc>
          <w:tcPr>
            <w:tcW w:w="586" w:type="dxa"/>
            <w:tcBorders>
              <w:top w:val="single" w:sz="4" w:space="0" w:color="000080"/>
              <w:bottom w:val="single" w:sz="4" w:space="0" w:color="000080"/>
            </w:tcBorders>
            <w:shd w:val="clear" w:color="auto" w:fill="auto"/>
            <w:vAlign w:val="center"/>
          </w:tcPr>
          <w:p w14:paraId="638FF7D9" w14:textId="77777777" w:rsidR="00061155" w:rsidRDefault="00061155">
            <w:pPr>
              <w:spacing w:line="240" w:lineRule="auto"/>
              <w:ind w:firstLine="0"/>
              <w:jc w:val="center"/>
            </w:pPr>
            <w:r>
              <w:rPr>
                <w:rFonts w:cs="Calibri"/>
                <w:color w:val="000000"/>
                <w:sz w:val="16"/>
                <w:szCs w:val="16"/>
              </w:rPr>
              <w:t>45</w:t>
            </w:r>
          </w:p>
        </w:tc>
        <w:tc>
          <w:tcPr>
            <w:tcW w:w="432" w:type="dxa"/>
            <w:tcBorders>
              <w:top w:val="single" w:sz="4" w:space="0" w:color="000080"/>
              <w:bottom w:val="single" w:sz="4" w:space="0" w:color="000080"/>
            </w:tcBorders>
            <w:shd w:val="clear" w:color="auto" w:fill="auto"/>
            <w:vAlign w:val="center"/>
          </w:tcPr>
          <w:p w14:paraId="2524394B" w14:textId="77777777" w:rsidR="00061155" w:rsidRDefault="00061155">
            <w:pPr>
              <w:spacing w:line="240" w:lineRule="auto"/>
              <w:ind w:firstLine="0"/>
              <w:jc w:val="center"/>
            </w:pPr>
            <w:r>
              <w:rPr>
                <w:rFonts w:cs="Calibri"/>
                <w:color w:val="000000"/>
                <w:sz w:val="16"/>
                <w:szCs w:val="16"/>
              </w:rPr>
              <w:t>15</w:t>
            </w:r>
          </w:p>
        </w:tc>
        <w:tc>
          <w:tcPr>
            <w:tcW w:w="515" w:type="dxa"/>
            <w:tcBorders>
              <w:top w:val="single" w:sz="4" w:space="0" w:color="000080"/>
              <w:bottom w:val="single" w:sz="4" w:space="0" w:color="000080"/>
            </w:tcBorders>
            <w:shd w:val="clear" w:color="auto" w:fill="auto"/>
            <w:vAlign w:val="center"/>
          </w:tcPr>
          <w:p w14:paraId="79B6B694" w14:textId="77777777" w:rsidR="00061155" w:rsidRDefault="00061155">
            <w:pPr>
              <w:spacing w:line="240" w:lineRule="auto"/>
              <w:ind w:firstLine="0"/>
              <w:jc w:val="center"/>
            </w:pPr>
            <w:r>
              <w:rPr>
                <w:rFonts w:cs="Calibri"/>
                <w:color w:val="000000"/>
                <w:sz w:val="16"/>
                <w:szCs w:val="16"/>
              </w:rPr>
              <w:t>151</w:t>
            </w:r>
          </w:p>
        </w:tc>
        <w:tc>
          <w:tcPr>
            <w:tcW w:w="239" w:type="dxa"/>
            <w:tcBorders>
              <w:top w:val="single" w:sz="4" w:space="0" w:color="000080"/>
              <w:bottom w:val="single" w:sz="4" w:space="0" w:color="000080"/>
            </w:tcBorders>
            <w:shd w:val="clear" w:color="auto" w:fill="auto"/>
            <w:vAlign w:val="center"/>
          </w:tcPr>
          <w:p w14:paraId="71873EC7"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6C805199" w14:textId="77777777" w:rsidR="00061155" w:rsidRDefault="00061155">
            <w:pPr>
              <w:spacing w:line="240" w:lineRule="auto"/>
              <w:ind w:firstLine="0"/>
              <w:jc w:val="center"/>
            </w:pPr>
            <w:r>
              <w:rPr>
                <w:rFonts w:cs="Calibri"/>
                <w:color w:val="000000"/>
                <w:sz w:val="16"/>
                <w:szCs w:val="16"/>
              </w:rPr>
              <w:t>157</w:t>
            </w:r>
          </w:p>
        </w:tc>
      </w:tr>
      <w:tr w:rsidR="00061155" w14:paraId="6B982522" w14:textId="77777777">
        <w:trPr>
          <w:trHeight w:val="244"/>
        </w:trPr>
        <w:tc>
          <w:tcPr>
            <w:tcW w:w="6231" w:type="dxa"/>
            <w:tcBorders>
              <w:top w:val="single" w:sz="4" w:space="0" w:color="000080"/>
              <w:bottom w:val="single" w:sz="4" w:space="0" w:color="000080"/>
            </w:tcBorders>
            <w:shd w:val="clear" w:color="auto" w:fill="auto"/>
            <w:vAlign w:val="center"/>
          </w:tcPr>
          <w:p w14:paraId="28659D98" w14:textId="77777777" w:rsidR="00061155" w:rsidRDefault="00061155">
            <w:pPr>
              <w:pStyle w:val="Paragrafoelenco"/>
              <w:numPr>
                <w:ilvl w:val="0"/>
                <w:numId w:val="4"/>
              </w:numPr>
              <w:spacing w:line="240" w:lineRule="auto"/>
            </w:pPr>
            <w:r>
              <w:rPr>
                <w:rFonts w:cs="Calibri"/>
                <w:color w:val="000000"/>
                <w:sz w:val="16"/>
                <w:szCs w:val="16"/>
              </w:rPr>
              <w:t>Be safe (avoid trouble, damage, risk, dangers, unexpected events, negative consequences, punishments etc.)</w:t>
            </w:r>
          </w:p>
        </w:tc>
        <w:tc>
          <w:tcPr>
            <w:tcW w:w="239" w:type="dxa"/>
            <w:tcBorders>
              <w:top w:val="single" w:sz="4" w:space="0" w:color="000080"/>
              <w:bottom w:val="single" w:sz="4" w:space="0" w:color="000080"/>
            </w:tcBorders>
            <w:shd w:val="clear" w:color="auto" w:fill="auto"/>
          </w:tcPr>
          <w:p w14:paraId="5D5BA530"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1FDCFB88" w14:textId="77777777" w:rsidR="00061155" w:rsidRDefault="00061155">
            <w:pPr>
              <w:spacing w:line="240" w:lineRule="auto"/>
              <w:ind w:firstLine="0"/>
              <w:jc w:val="center"/>
            </w:pPr>
            <w:r>
              <w:rPr>
                <w:rFonts w:cs="Calibri"/>
                <w:color w:val="000000"/>
                <w:sz w:val="16"/>
                <w:szCs w:val="16"/>
              </w:rPr>
              <w:t>7</w:t>
            </w:r>
          </w:p>
        </w:tc>
        <w:tc>
          <w:tcPr>
            <w:tcW w:w="640" w:type="dxa"/>
            <w:tcBorders>
              <w:top w:val="single" w:sz="4" w:space="0" w:color="000080"/>
              <w:bottom w:val="single" w:sz="4" w:space="0" w:color="000080"/>
            </w:tcBorders>
            <w:shd w:val="clear" w:color="auto" w:fill="auto"/>
            <w:vAlign w:val="center"/>
          </w:tcPr>
          <w:p w14:paraId="7BAA42C1" w14:textId="77777777" w:rsidR="00061155" w:rsidRDefault="00061155">
            <w:pPr>
              <w:spacing w:line="240" w:lineRule="auto"/>
              <w:ind w:firstLine="0"/>
              <w:jc w:val="center"/>
            </w:pPr>
            <w:r>
              <w:rPr>
                <w:rFonts w:cs="Calibri"/>
                <w:color w:val="000000"/>
                <w:sz w:val="16"/>
                <w:szCs w:val="16"/>
              </w:rPr>
              <w:t>58</w:t>
            </w:r>
          </w:p>
        </w:tc>
        <w:tc>
          <w:tcPr>
            <w:tcW w:w="669" w:type="dxa"/>
            <w:tcBorders>
              <w:top w:val="single" w:sz="4" w:space="0" w:color="000080"/>
              <w:bottom w:val="single" w:sz="4" w:space="0" w:color="000080"/>
            </w:tcBorders>
            <w:shd w:val="clear" w:color="auto" w:fill="auto"/>
            <w:vAlign w:val="center"/>
          </w:tcPr>
          <w:p w14:paraId="4DCFE8B6" w14:textId="77777777" w:rsidR="00061155" w:rsidRDefault="00061155">
            <w:pPr>
              <w:spacing w:line="240" w:lineRule="auto"/>
              <w:ind w:firstLine="0"/>
              <w:jc w:val="center"/>
            </w:pPr>
            <w:r>
              <w:rPr>
                <w:rFonts w:cs="Calibri"/>
                <w:color w:val="000000"/>
                <w:sz w:val="16"/>
                <w:szCs w:val="16"/>
              </w:rPr>
              <w:t>7</w:t>
            </w:r>
          </w:p>
        </w:tc>
        <w:tc>
          <w:tcPr>
            <w:tcW w:w="616" w:type="dxa"/>
            <w:tcBorders>
              <w:top w:val="single" w:sz="4" w:space="0" w:color="000080"/>
              <w:bottom w:val="single" w:sz="4" w:space="0" w:color="000080"/>
            </w:tcBorders>
            <w:shd w:val="clear" w:color="auto" w:fill="auto"/>
            <w:vAlign w:val="center"/>
          </w:tcPr>
          <w:p w14:paraId="3C1F7F09" w14:textId="77777777" w:rsidR="00061155" w:rsidRDefault="00061155">
            <w:pPr>
              <w:spacing w:line="240" w:lineRule="auto"/>
              <w:ind w:firstLine="0"/>
              <w:jc w:val="center"/>
            </w:pPr>
            <w:r>
              <w:rPr>
                <w:rFonts w:cs="Calibri"/>
                <w:color w:val="000000"/>
                <w:sz w:val="16"/>
                <w:szCs w:val="16"/>
              </w:rPr>
              <w:t>16</w:t>
            </w:r>
          </w:p>
        </w:tc>
        <w:tc>
          <w:tcPr>
            <w:tcW w:w="463" w:type="dxa"/>
            <w:tcBorders>
              <w:top w:val="single" w:sz="4" w:space="0" w:color="000080"/>
              <w:bottom w:val="single" w:sz="4" w:space="0" w:color="000080"/>
            </w:tcBorders>
            <w:shd w:val="clear" w:color="auto" w:fill="auto"/>
            <w:vAlign w:val="center"/>
          </w:tcPr>
          <w:p w14:paraId="1F594BD8" w14:textId="77777777" w:rsidR="00061155" w:rsidRDefault="00061155">
            <w:pPr>
              <w:spacing w:line="240" w:lineRule="auto"/>
              <w:ind w:firstLine="0"/>
              <w:jc w:val="center"/>
            </w:pPr>
            <w:r>
              <w:rPr>
                <w:rFonts w:cs="Calibri"/>
                <w:color w:val="000000"/>
                <w:sz w:val="16"/>
                <w:szCs w:val="16"/>
              </w:rPr>
              <w:t>9</w:t>
            </w:r>
          </w:p>
        </w:tc>
        <w:tc>
          <w:tcPr>
            <w:tcW w:w="546" w:type="dxa"/>
            <w:tcBorders>
              <w:top w:val="single" w:sz="4" w:space="0" w:color="000080"/>
              <w:bottom w:val="single" w:sz="4" w:space="0" w:color="000080"/>
            </w:tcBorders>
            <w:shd w:val="clear" w:color="auto" w:fill="auto"/>
            <w:vAlign w:val="center"/>
          </w:tcPr>
          <w:p w14:paraId="3FBF7390" w14:textId="77777777" w:rsidR="00061155" w:rsidRDefault="00061155">
            <w:pPr>
              <w:spacing w:line="240" w:lineRule="auto"/>
              <w:ind w:firstLine="0"/>
              <w:jc w:val="center"/>
            </w:pPr>
            <w:r>
              <w:rPr>
                <w:rFonts w:cs="Calibri"/>
                <w:color w:val="000000"/>
                <w:sz w:val="16"/>
                <w:szCs w:val="16"/>
              </w:rPr>
              <w:t>97</w:t>
            </w:r>
          </w:p>
        </w:tc>
        <w:tc>
          <w:tcPr>
            <w:tcW w:w="239" w:type="dxa"/>
            <w:tcBorders>
              <w:top w:val="single" w:sz="4" w:space="0" w:color="000080"/>
              <w:bottom w:val="single" w:sz="4" w:space="0" w:color="000080"/>
            </w:tcBorders>
            <w:shd w:val="clear" w:color="auto" w:fill="auto"/>
            <w:vAlign w:val="center"/>
          </w:tcPr>
          <w:p w14:paraId="2EC129D7"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436EDE5E" w14:textId="77777777" w:rsidR="00061155" w:rsidRDefault="00061155">
            <w:pPr>
              <w:spacing w:line="240" w:lineRule="auto"/>
              <w:ind w:firstLine="0"/>
              <w:jc w:val="center"/>
            </w:pPr>
            <w:r>
              <w:rPr>
                <w:rFonts w:cs="Calibri"/>
                <w:color w:val="000000"/>
                <w:sz w:val="16"/>
                <w:szCs w:val="16"/>
              </w:rPr>
              <w:t>2</w:t>
            </w:r>
          </w:p>
        </w:tc>
        <w:tc>
          <w:tcPr>
            <w:tcW w:w="609" w:type="dxa"/>
            <w:tcBorders>
              <w:top w:val="single" w:sz="4" w:space="0" w:color="000080"/>
              <w:bottom w:val="single" w:sz="4" w:space="0" w:color="000080"/>
            </w:tcBorders>
            <w:shd w:val="clear" w:color="auto" w:fill="auto"/>
            <w:vAlign w:val="center"/>
          </w:tcPr>
          <w:p w14:paraId="0F559E02" w14:textId="77777777" w:rsidR="00061155" w:rsidRDefault="00061155">
            <w:pPr>
              <w:spacing w:line="240" w:lineRule="auto"/>
              <w:ind w:firstLine="0"/>
              <w:jc w:val="center"/>
            </w:pPr>
            <w:r>
              <w:rPr>
                <w:rFonts w:cs="Calibri"/>
                <w:color w:val="000000"/>
                <w:sz w:val="16"/>
                <w:szCs w:val="16"/>
              </w:rPr>
              <w:t>6</w:t>
            </w:r>
          </w:p>
        </w:tc>
        <w:tc>
          <w:tcPr>
            <w:tcW w:w="638" w:type="dxa"/>
            <w:tcBorders>
              <w:top w:val="single" w:sz="4" w:space="0" w:color="000080"/>
              <w:bottom w:val="single" w:sz="4" w:space="0" w:color="000080"/>
            </w:tcBorders>
            <w:shd w:val="clear" w:color="auto" w:fill="auto"/>
            <w:vAlign w:val="center"/>
          </w:tcPr>
          <w:p w14:paraId="629B6EBE" w14:textId="77777777" w:rsidR="00061155" w:rsidRDefault="00061155">
            <w:pPr>
              <w:spacing w:line="240" w:lineRule="auto"/>
              <w:ind w:firstLine="0"/>
              <w:jc w:val="center"/>
            </w:pPr>
            <w:r>
              <w:rPr>
                <w:rFonts w:cs="Calibri"/>
                <w:color w:val="000000"/>
                <w:sz w:val="16"/>
                <w:szCs w:val="16"/>
              </w:rPr>
              <w:t>1</w:t>
            </w:r>
          </w:p>
        </w:tc>
        <w:tc>
          <w:tcPr>
            <w:tcW w:w="586" w:type="dxa"/>
            <w:tcBorders>
              <w:top w:val="single" w:sz="4" w:space="0" w:color="000080"/>
              <w:bottom w:val="single" w:sz="4" w:space="0" w:color="000080"/>
            </w:tcBorders>
            <w:shd w:val="clear" w:color="auto" w:fill="auto"/>
            <w:vAlign w:val="center"/>
          </w:tcPr>
          <w:p w14:paraId="7FF45BD1" w14:textId="77777777" w:rsidR="00061155" w:rsidRDefault="00061155">
            <w:pPr>
              <w:spacing w:line="240" w:lineRule="auto"/>
              <w:ind w:firstLine="0"/>
              <w:jc w:val="center"/>
            </w:pPr>
            <w:r>
              <w:rPr>
                <w:rFonts w:cs="Calibri"/>
                <w:color w:val="000000"/>
                <w:sz w:val="16"/>
                <w:szCs w:val="16"/>
              </w:rPr>
              <w:t>2</w:t>
            </w:r>
          </w:p>
        </w:tc>
        <w:tc>
          <w:tcPr>
            <w:tcW w:w="432" w:type="dxa"/>
            <w:tcBorders>
              <w:top w:val="single" w:sz="4" w:space="0" w:color="000080"/>
              <w:bottom w:val="single" w:sz="4" w:space="0" w:color="000080"/>
            </w:tcBorders>
            <w:shd w:val="clear" w:color="auto" w:fill="auto"/>
            <w:vAlign w:val="center"/>
          </w:tcPr>
          <w:p w14:paraId="5C73573C" w14:textId="77777777" w:rsidR="00061155" w:rsidRDefault="00061155">
            <w:pPr>
              <w:spacing w:line="240" w:lineRule="auto"/>
              <w:ind w:firstLine="0"/>
              <w:jc w:val="center"/>
            </w:pPr>
            <w:r>
              <w:rPr>
                <w:rFonts w:cs="Calibri"/>
                <w:color w:val="000000"/>
                <w:sz w:val="16"/>
                <w:szCs w:val="16"/>
              </w:rPr>
              <w:t>2</w:t>
            </w:r>
          </w:p>
        </w:tc>
        <w:tc>
          <w:tcPr>
            <w:tcW w:w="515" w:type="dxa"/>
            <w:tcBorders>
              <w:top w:val="single" w:sz="4" w:space="0" w:color="000080"/>
              <w:bottom w:val="single" w:sz="4" w:space="0" w:color="000080"/>
            </w:tcBorders>
            <w:shd w:val="clear" w:color="auto" w:fill="auto"/>
            <w:vAlign w:val="center"/>
          </w:tcPr>
          <w:p w14:paraId="4FE691CE" w14:textId="77777777" w:rsidR="00061155" w:rsidRDefault="00061155">
            <w:pPr>
              <w:spacing w:line="240" w:lineRule="auto"/>
              <w:ind w:firstLine="0"/>
              <w:jc w:val="center"/>
            </w:pPr>
            <w:r>
              <w:rPr>
                <w:rFonts w:cs="Calibri"/>
                <w:color w:val="000000"/>
                <w:sz w:val="16"/>
                <w:szCs w:val="16"/>
              </w:rPr>
              <w:t>13</w:t>
            </w:r>
          </w:p>
        </w:tc>
        <w:tc>
          <w:tcPr>
            <w:tcW w:w="239" w:type="dxa"/>
            <w:tcBorders>
              <w:top w:val="single" w:sz="4" w:space="0" w:color="000080"/>
              <w:bottom w:val="single" w:sz="4" w:space="0" w:color="000080"/>
            </w:tcBorders>
            <w:shd w:val="clear" w:color="auto" w:fill="auto"/>
            <w:vAlign w:val="center"/>
          </w:tcPr>
          <w:p w14:paraId="5B747316"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1D6FF85F" w14:textId="77777777" w:rsidR="00061155" w:rsidRDefault="00061155">
            <w:pPr>
              <w:spacing w:line="240" w:lineRule="auto"/>
              <w:ind w:firstLine="0"/>
              <w:jc w:val="center"/>
            </w:pPr>
            <w:r>
              <w:rPr>
                <w:rFonts w:cs="Calibri"/>
                <w:color w:val="000000"/>
                <w:sz w:val="16"/>
                <w:szCs w:val="16"/>
              </w:rPr>
              <w:t>110</w:t>
            </w:r>
          </w:p>
        </w:tc>
      </w:tr>
      <w:tr w:rsidR="00061155" w14:paraId="51F7BCB2" w14:textId="77777777">
        <w:trPr>
          <w:trHeight w:val="244"/>
        </w:trPr>
        <w:tc>
          <w:tcPr>
            <w:tcW w:w="6231" w:type="dxa"/>
            <w:tcBorders>
              <w:top w:val="single" w:sz="4" w:space="0" w:color="000080"/>
              <w:bottom w:val="single" w:sz="4" w:space="0" w:color="000080"/>
            </w:tcBorders>
            <w:shd w:val="clear" w:color="auto" w:fill="auto"/>
            <w:vAlign w:val="center"/>
          </w:tcPr>
          <w:p w14:paraId="46D57446" w14:textId="77777777" w:rsidR="00061155" w:rsidRDefault="00061155">
            <w:pPr>
              <w:pStyle w:val="Paragrafoelenco"/>
              <w:numPr>
                <w:ilvl w:val="0"/>
                <w:numId w:val="4"/>
              </w:numPr>
              <w:spacing w:line="240" w:lineRule="auto"/>
            </w:pPr>
            <w:r>
              <w:rPr>
                <w:rFonts w:cs="Calibri"/>
                <w:color w:val="000000"/>
                <w:sz w:val="16"/>
                <w:szCs w:val="16"/>
              </w:rPr>
              <w:t>Do not have repentance or remorse, do not miss opportunities</w:t>
            </w:r>
          </w:p>
        </w:tc>
        <w:tc>
          <w:tcPr>
            <w:tcW w:w="239" w:type="dxa"/>
            <w:tcBorders>
              <w:top w:val="single" w:sz="4" w:space="0" w:color="000080"/>
              <w:bottom w:val="single" w:sz="4" w:space="0" w:color="000080"/>
            </w:tcBorders>
            <w:shd w:val="clear" w:color="auto" w:fill="auto"/>
          </w:tcPr>
          <w:p w14:paraId="05DA8311"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2AE2CA4A" w14:textId="77777777" w:rsidR="00061155" w:rsidRDefault="00061155">
            <w:pPr>
              <w:spacing w:line="240" w:lineRule="auto"/>
              <w:ind w:firstLine="0"/>
              <w:jc w:val="center"/>
            </w:pPr>
            <w:r>
              <w:rPr>
                <w:rFonts w:cs="Calibri"/>
                <w:color w:val="000000"/>
                <w:sz w:val="16"/>
                <w:szCs w:val="16"/>
              </w:rPr>
              <w:t>2</w:t>
            </w:r>
          </w:p>
        </w:tc>
        <w:tc>
          <w:tcPr>
            <w:tcW w:w="640" w:type="dxa"/>
            <w:tcBorders>
              <w:top w:val="single" w:sz="4" w:space="0" w:color="000080"/>
              <w:bottom w:val="single" w:sz="4" w:space="0" w:color="000080"/>
            </w:tcBorders>
            <w:shd w:val="clear" w:color="auto" w:fill="auto"/>
            <w:vAlign w:val="center"/>
          </w:tcPr>
          <w:p w14:paraId="59774BAD" w14:textId="77777777" w:rsidR="00061155" w:rsidRDefault="00061155">
            <w:pPr>
              <w:spacing w:line="240" w:lineRule="auto"/>
              <w:ind w:firstLine="0"/>
              <w:jc w:val="center"/>
            </w:pPr>
            <w:r>
              <w:rPr>
                <w:rFonts w:cs="Calibri"/>
                <w:color w:val="000000"/>
                <w:sz w:val="16"/>
                <w:szCs w:val="16"/>
              </w:rPr>
              <w:t>12</w:t>
            </w:r>
          </w:p>
        </w:tc>
        <w:tc>
          <w:tcPr>
            <w:tcW w:w="669" w:type="dxa"/>
            <w:tcBorders>
              <w:top w:val="single" w:sz="4" w:space="0" w:color="000080"/>
              <w:bottom w:val="single" w:sz="4" w:space="0" w:color="000080"/>
            </w:tcBorders>
            <w:shd w:val="clear" w:color="auto" w:fill="auto"/>
            <w:vAlign w:val="center"/>
          </w:tcPr>
          <w:p w14:paraId="509F2109" w14:textId="77777777" w:rsidR="00061155" w:rsidRDefault="00061155">
            <w:pPr>
              <w:spacing w:line="240" w:lineRule="auto"/>
              <w:ind w:firstLine="0"/>
              <w:jc w:val="center"/>
            </w:pPr>
            <w:r>
              <w:rPr>
                <w:rFonts w:cs="Calibri"/>
                <w:color w:val="000000"/>
                <w:sz w:val="16"/>
                <w:szCs w:val="16"/>
              </w:rPr>
              <w:t>1</w:t>
            </w:r>
          </w:p>
        </w:tc>
        <w:tc>
          <w:tcPr>
            <w:tcW w:w="616" w:type="dxa"/>
            <w:tcBorders>
              <w:top w:val="single" w:sz="4" w:space="0" w:color="000080"/>
              <w:bottom w:val="single" w:sz="4" w:space="0" w:color="000080"/>
            </w:tcBorders>
            <w:shd w:val="clear" w:color="auto" w:fill="auto"/>
            <w:vAlign w:val="center"/>
          </w:tcPr>
          <w:p w14:paraId="03C33369" w14:textId="77777777" w:rsidR="00061155" w:rsidRDefault="00061155">
            <w:pPr>
              <w:spacing w:line="240" w:lineRule="auto"/>
              <w:ind w:firstLine="0"/>
              <w:jc w:val="center"/>
            </w:pPr>
            <w:r>
              <w:rPr>
                <w:rFonts w:cs="Calibri"/>
                <w:color w:val="000000"/>
                <w:sz w:val="16"/>
                <w:szCs w:val="16"/>
              </w:rPr>
              <w:t>3</w:t>
            </w:r>
          </w:p>
        </w:tc>
        <w:tc>
          <w:tcPr>
            <w:tcW w:w="463" w:type="dxa"/>
            <w:tcBorders>
              <w:top w:val="single" w:sz="4" w:space="0" w:color="000080"/>
              <w:bottom w:val="single" w:sz="4" w:space="0" w:color="000080"/>
            </w:tcBorders>
            <w:shd w:val="clear" w:color="auto" w:fill="auto"/>
            <w:vAlign w:val="center"/>
          </w:tcPr>
          <w:p w14:paraId="7297EE27"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4998320C" w14:textId="77777777" w:rsidR="00061155" w:rsidRDefault="00061155">
            <w:pPr>
              <w:spacing w:line="240" w:lineRule="auto"/>
              <w:ind w:firstLine="0"/>
              <w:jc w:val="center"/>
            </w:pPr>
            <w:r>
              <w:rPr>
                <w:rFonts w:cs="Calibri"/>
                <w:color w:val="000000"/>
                <w:sz w:val="16"/>
                <w:szCs w:val="16"/>
              </w:rPr>
              <w:t>18</w:t>
            </w:r>
          </w:p>
        </w:tc>
        <w:tc>
          <w:tcPr>
            <w:tcW w:w="239" w:type="dxa"/>
            <w:tcBorders>
              <w:top w:val="single" w:sz="4" w:space="0" w:color="000080"/>
              <w:bottom w:val="single" w:sz="4" w:space="0" w:color="000080"/>
            </w:tcBorders>
            <w:shd w:val="clear" w:color="auto" w:fill="auto"/>
            <w:vAlign w:val="center"/>
          </w:tcPr>
          <w:p w14:paraId="6EC4D524"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1031BDAB" w14:textId="77777777" w:rsidR="00061155" w:rsidRDefault="00061155">
            <w:pPr>
              <w:spacing w:line="240" w:lineRule="auto"/>
              <w:ind w:firstLine="0"/>
              <w:jc w:val="center"/>
            </w:pPr>
            <w:r>
              <w:rPr>
                <w:rFonts w:cs="Calibri"/>
                <w:color w:val="000000"/>
                <w:sz w:val="16"/>
                <w:szCs w:val="16"/>
              </w:rPr>
              <w:t>2</w:t>
            </w:r>
          </w:p>
        </w:tc>
        <w:tc>
          <w:tcPr>
            <w:tcW w:w="609" w:type="dxa"/>
            <w:tcBorders>
              <w:top w:val="single" w:sz="4" w:space="0" w:color="000080"/>
              <w:bottom w:val="single" w:sz="4" w:space="0" w:color="000080"/>
            </w:tcBorders>
            <w:shd w:val="clear" w:color="auto" w:fill="auto"/>
            <w:vAlign w:val="center"/>
          </w:tcPr>
          <w:p w14:paraId="5F45F8B3" w14:textId="77777777" w:rsidR="00061155" w:rsidRDefault="00061155">
            <w:pPr>
              <w:spacing w:line="240" w:lineRule="auto"/>
              <w:ind w:firstLine="0"/>
              <w:jc w:val="center"/>
            </w:pPr>
            <w:r>
              <w:rPr>
                <w:rFonts w:cs="Calibri"/>
                <w:color w:val="000000"/>
                <w:sz w:val="16"/>
                <w:szCs w:val="16"/>
              </w:rPr>
              <w:t>8</w:t>
            </w:r>
          </w:p>
        </w:tc>
        <w:tc>
          <w:tcPr>
            <w:tcW w:w="638" w:type="dxa"/>
            <w:tcBorders>
              <w:top w:val="single" w:sz="4" w:space="0" w:color="000080"/>
              <w:bottom w:val="single" w:sz="4" w:space="0" w:color="000080"/>
            </w:tcBorders>
            <w:shd w:val="clear" w:color="auto" w:fill="auto"/>
            <w:vAlign w:val="center"/>
          </w:tcPr>
          <w:p w14:paraId="1A62D1FB" w14:textId="77777777" w:rsidR="00061155" w:rsidRDefault="00061155">
            <w:pPr>
              <w:spacing w:line="240" w:lineRule="auto"/>
              <w:ind w:firstLine="0"/>
              <w:jc w:val="center"/>
            </w:pPr>
            <w:r>
              <w:rPr>
                <w:rFonts w:cs="Calibri"/>
                <w:color w:val="000000"/>
                <w:sz w:val="16"/>
                <w:szCs w:val="16"/>
              </w:rPr>
              <w:t>0</w:t>
            </w:r>
          </w:p>
        </w:tc>
        <w:tc>
          <w:tcPr>
            <w:tcW w:w="586" w:type="dxa"/>
            <w:tcBorders>
              <w:top w:val="single" w:sz="4" w:space="0" w:color="000080"/>
              <w:bottom w:val="single" w:sz="4" w:space="0" w:color="000080"/>
            </w:tcBorders>
            <w:shd w:val="clear" w:color="auto" w:fill="auto"/>
            <w:vAlign w:val="center"/>
          </w:tcPr>
          <w:p w14:paraId="5C1E53B0" w14:textId="77777777" w:rsidR="00061155" w:rsidRDefault="00061155">
            <w:pPr>
              <w:spacing w:line="240" w:lineRule="auto"/>
              <w:ind w:firstLine="0"/>
              <w:jc w:val="center"/>
            </w:pPr>
            <w:r>
              <w:rPr>
                <w:rFonts w:cs="Calibri"/>
                <w:color w:val="000000"/>
                <w:sz w:val="16"/>
                <w:szCs w:val="16"/>
              </w:rPr>
              <w:t>0</w:t>
            </w:r>
          </w:p>
        </w:tc>
        <w:tc>
          <w:tcPr>
            <w:tcW w:w="432" w:type="dxa"/>
            <w:tcBorders>
              <w:top w:val="single" w:sz="4" w:space="0" w:color="000080"/>
              <w:bottom w:val="single" w:sz="4" w:space="0" w:color="000080"/>
            </w:tcBorders>
            <w:shd w:val="clear" w:color="auto" w:fill="auto"/>
            <w:vAlign w:val="center"/>
          </w:tcPr>
          <w:p w14:paraId="127D680C" w14:textId="77777777" w:rsidR="00061155" w:rsidRDefault="00061155">
            <w:pPr>
              <w:spacing w:line="240" w:lineRule="auto"/>
              <w:ind w:firstLine="0"/>
              <w:jc w:val="center"/>
            </w:pPr>
            <w:r>
              <w:rPr>
                <w:rFonts w:cs="Calibri"/>
                <w:color w:val="000000"/>
                <w:sz w:val="16"/>
                <w:szCs w:val="16"/>
              </w:rPr>
              <w:t>0</w:t>
            </w:r>
          </w:p>
        </w:tc>
        <w:tc>
          <w:tcPr>
            <w:tcW w:w="515" w:type="dxa"/>
            <w:tcBorders>
              <w:top w:val="single" w:sz="4" w:space="0" w:color="000080"/>
              <w:bottom w:val="single" w:sz="4" w:space="0" w:color="000080"/>
            </w:tcBorders>
            <w:shd w:val="clear" w:color="auto" w:fill="auto"/>
            <w:vAlign w:val="center"/>
          </w:tcPr>
          <w:p w14:paraId="700D576B" w14:textId="77777777" w:rsidR="00061155" w:rsidRDefault="00061155">
            <w:pPr>
              <w:spacing w:line="240" w:lineRule="auto"/>
              <w:ind w:firstLine="0"/>
              <w:jc w:val="center"/>
            </w:pPr>
            <w:r>
              <w:rPr>
                <w:rFonts w:cs="Calibri"/>
                <w:color w:val="000000"/>
                <w:sz w:val="16"/>
                <w:szCs w:val="16"/>
              </w:rPr>
              <w:t>10</w:t>
            </w:r>
          </w:p>
        </w:tc>
        <w:tc>
          <w:tcPr>
            <w:tcW w:w="239" w:type="dxa"/>
            <w:tcBorders>
              <w:top w:val="single" w:sz="4" w:space="0" w:color="000080"/>
              <w:bottom w:val="single" w:sz="4" w:space="0" w:color="000080"/>
            </w:tcBorders>
            <w:shd w:val="clear" w:color="auto" w:fill="auto"/>
            <w:vAlign w:val="center"/>
          </w:tcPr>
          <w:p w14:paraId="4ADF9384"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7E2AFB4D" w14:textId="77777777" w:rsidR="00061155" w:rsidRDefault="00061155">
            <w:pPr>
              <w:spacing w:line="240" w:lineRule="auto"/>
              <w:ind w:firstLine="0"/>
              <w:jc w:val="center"/>
            </w:pPr>
            <w:r>
              <w:rPr>
                <w:rFonts w:cs="Calibri"/>
                <w:color w:val="000000"/>
                <w:sz w:val="16"/>
                <w:szCs w:val="16"/>
              </w:rPr>
              <w:t>28</w:t>
            </w:r>
          </w:p>
        </w:tc>
      </w:tr>
      <w:tr w:rsidR="00061155" w14:paraId="408DE96D" w14:textId="77777777">
        <w:trPr>
          <w:trHeight w:val="244"/>
        </w:trPr>
        <w:tc>
          <w:tcPr>
            <w:tcW w:w="6231" w:type="dxa"/>
            <w:tcBorders>
              <w:top w:val="single" w:sz="4" w:space="0" w:color="000080"/>
              <w:bottom w:val="single" w:sz="4" w:space="0" w:color="000080"/>
            </w:tcBorders>
            <w:shd w:val="clear" w:color="auto" w:fill="auto"/>
            <w:vAlign w:val="center"/>
          </w:tcPr>
          <w:p w14:paraId="280EDF18" w14:textId="77777777" w:rsidR="00061155" w:rsidRDefault="00061155">
            <w:pPr>
              <w:pStyle w:val="Paragrafoelenco"/>
              <w:numPr>
                <w:ilvl w:val="0"/>
                <w:numId w:val="4"/>
              </w:numPr>
              <w:spacing w:line="240" w:lineRule="auto"/>
            </w:pPr>
            <w:r>
              <w:rPr>
                <w:rFonts w:cs="Calibri"/>
                <w:color w:val="000000"/>
                <w:sz w:val="16"/>
                <w:szCs w:val="16"/>
              </w:rPr>
              <w:t>Address an unexpected event</w:t>
            </w:r>
          </w:p>
        </w:tc>
        <w:tc>
          <w:tcPr>
            <w:tcW w:w="239" w:type="dxa"/>
            <w:tcBorders>
              <w:top w:val="single" w:sz="4" w:space="0" w:color="000080"/>
              <w:bottom w:val="single" w:sz="4" w:space="0" w:color="000080"/>
            </w:tcBorders>
            <w:shd w:val="clear" w:color="auto" w:fill="auto"/>
          </w:tcPr>
          <w:p w14:paraId="5D915ACF"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2C558ECB" w14:textId="77777777" w:rsidR="00061155" w:rsidRDefault="00061155">
            <w:pPr>
              <w:spacing w:line="240" w:lineRule="auto"/>
              <w:ind w:firstLine="0"/>
              <w:jc w:val="center"/>
            </w:pPr>
            <w:r>
              <w:rPr>
                <w:rFonts w:cs="Calibri"/>
                <w:color w:val="000000"/>
                <w:sz w:val="16"/>
                <w:szCs w:val="16"/>
              </w:rPr>
              <w:t>0</w:t>
            </w:r>
          </w:p>
        </w:tc>
        <w:tc>
          <w:tcPr>
            <w:tcW w:w="640" w:type="dxa"/>
            <w:tcBorders>
              <w:top w:val="single" w:sz="4" w:space="0" w:color="000080"/>
              <w:bottom w:val="single" w:sz="4" w:space="0" w:color="000080"/>
            </w:tcBorders>
            <w:shd w:val="clear" w:color="auto" w:fill="auto"/>
            <w:vAlign w:val="center"/>
          </w:tcPr>
          <w:p w14:paraId="6953C22F" w14:textId="77777777" w:rsidR="00061155" w:rsidRDefault="00061155">
            <w:pPr>
              <w:spacing w:line="240" w:lineRule="auto"/>
              <w:ind w:firstLine="0"/>
              <w:jc w:val="center"/>
            </w:pPr>
            <w:r>
              <w:rPr>
                <w:rFonts w:cs="Calibri"/>
                <w:color w:val="000000"/>
                <w:sz w:val="16"/>
                <w:szCs w:val="16"/>
              </w:rPr>
              <w:t>0</w:t>
            </w:r>
          </w:p>
        </w:tc>
        <w:tc>
          <w:tcPr>
            <w:tcW w:w="669" w:type="dxa"/>
            <w:tcBorders>
              <w:top w:val="single" w:sz="4" w:space="0" w:color="000080"/>
              <w:bottom w:val="single" w:sz="4" w:space="0" w:color="000080"/>
            </w:tcBorders>
            <w:shd w:val="clear" w:color="auto" w:fill="auto"/>
            <w:vAlign w:val="center"/>
          </w:tcPr>
          <w:p w14:paraId="4D4D6701" w14:textId="77777777" w:rsidR="00061155" w:rsidRDefault="00061155">
            <w:pPr>
              <w:spacing w:line="240" w:lineRule="auto"/>
              <w:ind w:firstLine="0"/>
              <w:jc w:val="center"/>
            </w:pPr>
            <w:r>
              <w:rPr>
                <w:rFonts w:cs="Calibri"/>
                <w:color w:val="000000"/>
                <w:sz w:val="16"/>
                <w:szCs w:val="16"/>
              </w:rPr>
              <w:t>0</w:t>
            </w:r>
          </w:p>
        </w:tc>
        <w:tc>
          <w:tcPr>
            <w:tcW w:w="616" w:type="dxa"/>
            <w:tcBorders>
              <w:top w:val="single" w:sz="4" w:space="0" w:color="000080"/>
              <w:bottom w:val="single" w:sz="4" w:space="0" w:color="000080"/>
            </w:tcBorders>
            <w:shd w:val="clear" w:color="auto" w:fill="auto"/>
            <w:vAlign w:val="center"/>
          </w:tcPr>
          <w:p w14:paraId="2D757AB7" w14:textId="77777777" w:rsidR="00061155" w:rsidRDefault="00061155">
            <w:pPr>
              <w:spacing w:line="240" w:lineRule="auto"/>
              <w:ind w:firstLine="0"/>
              <w:jc w:val="center"/>
            </w:pPr>
            <w:r>
              <w:rPr>
                <w:rFonts w:cs="Calibri"/>
                <w:color w:val="000000"/>
                <w:sz w:val="16"/>
                <w:szCs w:val="16"/>
              </w:rPr>
              <w:t>0</w:t>
            </w:r>
          </w:p>
        </w:tc>
        <w:tc>
          <w:tcPr>
            <w:tcW w:w="463" w:type="dxa"/>
            <w:tcBorders>
              <w:top w:val="single" w:sz="4" w:space="0" w:color="000080"/>
              <w:bottom w:val="single" w:sz="4" w:space="0" w:color="000080"/>
            </w:tcBorders>
            <w:shd w:val="clear" w:color="auto" w:fill="auto"/>
            <w:vAlign w:val="center"/>
          </w:tcPr>
          <w:p w14:paraId="0EF180CC"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61E6BC11" w14:textId="77777777" w:rsidR="00061155" w:rsidRDefault="00061155">
            <w:pPr>
              <w:spacing w:line="240" w:lineRule="auto"/>
              <w:ind w:firstLine="0"/>
              <w:jc w:val="center"/>
            </w:pPr>
            <w:r>
              <w:rPr>
                <w:rFonts w:cs="Calibri"/>
                <w:color w:val="000000"/>
                <w:sz w:val="16"/>
                <w:szCs w:val="16"/>
              </w:rPr>
              <w:t>0</w:t>
            </w:r>
          </w:p>
        </w:tc>
        <w:tc>
          <w:tcPr>
            <w:tcW w:w="239" w:type="dxa"/>
            <w:tcBorders>
              <w:top w:val="single" w:sz="4" w:space="0" w:color="000080"/>
              <w:bottom w:val="single" w:sz="4" w:space="0" w:color="000080"/>
            </w:tcBorders>
            <w:shd w:val="clear" w:color="auto" w:fill="auto"/>
            <w:vAlign w:val="center"/>
          </w:tcPr>
          <w:p w14:paraId="6BC9CD96"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37E0E589" w14:textId="77777777" w:rsidR="00061155" w:rsidRDefault="00061155">
            <w:pPr>
              <w:spacing w:line="240" w:lineRule="auto"/>
              <w:ind w:firstLine="0"/>
              <w:jc w:val="center"/>
            </w:pPr>
            <w:r>
              <w:rPr>
                <w:rFonts w:cs="Calibri"/>
                <w:color w:val="000000"/>
                <w:sz w:val="16"/>
                <w:szCs w:val="16"/>
              </w:rPr>
              <w:t>0</w:t>
            </w:r>
          </w:p>
        </w:tc>
        <w:tc>
          <w:tcPr>
            <w:tcW w:w="609" w:type="dxa"/>
            <w:tcBorders>
              <w:top w:val="single" w:sz="4" w:space="0" w:color="000080"/>
              <w:bottom w:val="single" w:sz="4" w:space="0" w:color="000080"/>
            </w:tcBorders>
            <w:shd w:val="clear" w:color="auto" w:fill="auto"/>
            <w:vAlign w:val="center"/>
          </w:tcPr>
          <w:p w14:paraId="49D27DEE" w14:textId="77777777" w:rsidR="00061155" w:rsidRDefault="00061155">
            <w:pPr>
              <w:spacing w:line="240" w:lineRule="auto"/>
              <w:ind w:firstLine="0"/>
              <w:jc w:val="center"/>
            </w:pPr>
            <w:r>
              <w:rPr>
                <w:rFonts w:cs="Calibri"/>
                <w:color w:val="000000"/>
                <w:sz w:val="16"/>
                <w:szCs w:val="16"/>
              </w:rPr>
              <w:t>7</w:t>
            </w:r>
          </w:p>
        </w:tc>
        <w:tc>
          <w:tcPr>
            <w:tcW w:w="638" w:type="dxa"/>
            <w:tcBorders>
              <w:top w:val="single" w:sz="4" w:space="0" w:color="000080"/>
              <w:bottom w:val="single" w:sz="4" w:space="0" w:color="000080"/>
            </w:tcBorders>
            <w:shd w:val="clear" w:color="auto" w:fill="auto"/>
            <w:vAlign w:val="center"/>
          </w:tcPr>
          <w:p w14:paraId="2B35E00A" w14:textId="77777777" w:rsidR="00061155" w:rsidRDefault="00061155">
            <w:pPr>
              <w:spacing w:line="240" w:lineRule="auto"/>
              <w:ind w:firstLine="0"/>
              <w:jc w:val="center"/>
            </w:pPr>
            <w:r>
              <w:rPr>
                <w:rFonts w:cs="Calibri"/>
                <w:color w:val="000000"/>
                <w:sz w:val="16"/>
                <w:szCs w:val="16"/>
              </w:rPr>
              <w:t>1</w:t>
            </w:r>
          </w:p>
        </w:tc>
        <w:tc>
          <w:tcPr>
            <w:tcW w:w="586" w:type="dxa"/>
            <w:tcBorders>
              <w:top w:val="single" w:sz="4" w:space="0" w:color="000080"/>
              <w:bottom w:val="single" w:sz="4" w:space="0" w:color="000080"/>
            </w:tcBorders>
            <w:shd w:val="clear" w:color="auto" w:fill="auto"/>
            <w:vAlign w:val="center"/>
          </w:tcPr>
          <w:p w14:paraId="4CE0AB89" w14:textId="77777777" w:rsidR="00061155" w:rsidRDefault="00061155">
            <w:pPr>
              <w:spacing w:line="240" w:lineRule="auto"/>
              <w:ind w:firstLine="0"/>
              <w:jc w:val="center"/>
            </w:pPr>
            <w:r>
              <w:rPr>
                <w:rFonts w:cs="Calibri"/>
                <w:color w:val="000000"/>
                <w:sz w:val="16"/>
                <w:szCs w:val="16"/>
              </w:rPr>
              <w:t>0</w:t>
            </w:r>
          </w:p>
        </w:tc>
        <w:tc>
          <w:tcPr>
            <w:tcW w:w="432" w:type="dxa"/>
            <w:tcBorders>
              <w:top w:val="single" w:sz="4" w:space="0" w:color="000080"/>
              <w:bottom w:val="single" w:sz="4" w:space="0" w:color="000080"/>
            </w:tcBorders>
            <w:shd w:val="clear" w:color="auto" w:fill="auto"/>
            <w:vAlign w:val="center"/>
          </w:tcPr>
          <w:p w14:paraId="622180AF" w14:textId="77777777" w:rsidR="00061155" w:rsidRDefault="00061155">
            <w:pPr>
              <w:spacing w:line="240" w:lineRule="auto"/>
              <w:ind w:firstLine="0"/>
              <w:jc w:val="center"/>
            </w:pPr>
            <w:r>
              <w:rPr>
                <w:rFonts w:cs="Calibri"/>
                <w:color w:val="000000"/>
                <w:sz w:val="16"/>
                <w:szCs w:val="16"/>
              </w:rPr>
              <w:t>0</w:t>
            </w:r>
          </w:p>
        </w:tc>
        <w:tc>
          <w:tcPr>
            <w:tcW w:w="515" w:type="dxa"/>
            <w:tcBorders>
              <w:top w:val="single" w:sz="4" w:space="0" w:color="000080"/>
              <w:bottom w:val="single" w:sz="4" w:space="0" w:color="000080"/>
            </w:tcBorders>
            <w:shd w:val="clear" w:color="auto" w:fill="auto"/>
            <w:vAlign w:val="center"/>
          </w:tcPr>
          <w:p w14:paraId="3A529237" w14:textId="77777777" w:rsidR="00061155" w:rsidRDefault="00061155">
            <w:pPr>
              <w:spacing w:line="240" w:lineRule="auto"/>
              <w:ind w:firstLine="0"/>
              <w:jc w:val="center"/>
            </w:pPr>
            <w:r>
              <w:rPr>
                <w:rFonts w:cs="Calibri"/>
                <w:color w:val="000000"/>
                <w:sz w:val="16"/>
                <w:szCs w:val="16"/>
              </w:rPr>
              <w:t>8</w:t>
            </w:r>
          </w:p>
        </w:tc>
        <w:tc>
          <w:tcPr>
            <w:tcW w:w="239" w:type="dxa"/>
            <w:tcBorders>
              <w:top w:val="single" w:sz="4" w:space="0" w:color="000080"/>
              <w:bottom w:val="single" w:sz="4" w:space="0" w:color="000080"/>
            </w:tcBorders>
            <w:shd w:val="clear" w:color="auto" w:fill="auto"/>
            <w:vAlign w:val="center"/>
          </w:tcPr>
          <w:p w14:paraId="0CC01D41"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412EEEDA" w14:textId="77777777" w:rsidR="00061155" w:rsidRDefault="00061155">
            <w:pPr>
              <w:spacing w:line="240" w:lineRule="auto"/>
              <w:ind w:firstLine="0"/>
              <w:jc w:val="center"/>
            </w:pPr>
            <w:r>
              <w:rPr>
                <w:rFonts w:cs="Calibri"/>
                <w:color w:val="000000"/>
                <w:sz w:val="16"/>
                <w:szCs w:val="16"/>
              </w:rPr>
              <w:t>8</w:t>
            </w:r>
          </w:p>
        </w:tc>
      </w:tr>
      <w:tr w:rsidR="00061155" w14:paraId="543472BD" w14:textId="77777777">
        <w:trPr>
          <w:trHeight w:val="244"/>
        </w:trPr>
        <w:tc>
          <w:tcPr>
            <w:tcW w:w="6231" w:type="dxa"/>
            <w:tcBorders>
              <w:top w:val="single" w:sz="4" w:space="0" w:color="000080"/>
              <w:bottom w:val="single" w:sz="4" w:space="0" w:color="000080"/>
            </w:tcBorders>
            <w:shd w:val="clear" w:color="auto" w:fill="auto"/>
            <w:vAlign w:val="center"/>
          </w:tcPr>
          <w:p w14:paraId="1F40D856" w14:textId="77777777" w:rsidR="00061155" w:rsidRDefault="00061155">
            <w:pPr>
              <w:pStyle w:val="Paragrafoelenco"/>
              <w:numPr>
                <w:ilvl w:val="0"/>
                <w:numId w:val="4"/>
              </w:numPr>
              <w:spacing w:line="240" w:lineRule="auto"/>
            </w:pPr>
            <w:r>
              <w:rPr>
                <w:rFonts w:cs="Calibri"/>
                <w:color w:val="000000"/>
                <w:sz w:val="16"/>
                <w:szCs w:val="16"/>
              </w:rPr>
              <w:t>Be satisfied with yourself, have a good self-esteem.</w:t>
            </w:r>
          </w:p>
        </w:tc>
        <w:tc>
          <w:tcPr>
            <w:tcW w:w="239" w:type="dxa"/>
            <w:tcBorders>
              <w:top w:val="single" w:sz="4" w:space="0" w:color="000080"/>
              <w:bottom w:val="single" w:sz="4" w:space="0" w:color="000080"/>
            </w:tcBorders>
            <w:shd w:val="clear" w:color="auto" w:fill="auto"/>
          </w:tcPr>
          <w:p w14:paraId="15B817A3"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526F8B20" w14:textId="77777777" w:rsidR="00061155" w:rsidRDefault="00061155">
            <w:pPr>
              <w:spacing w:line="240" w:lineRule="auto"/>
              <w:ind w:firstLine="0"/>
              <w:jc w:val="center"/>
            </w:pPr>
            <w:r>
              <w:rPr>
                <w:rFonts w:cs="Calibri"/>
                <w:color w:val="000000"/>
                <w:sz w:val="16"/>
                <w:szCs w:val="16"/>
              </w:rPr>
              <w:t>25</w:t>
            </w:r>
          </w:p>
        </w:tc>
        <w:tc>
          <w:tcPr>
            <w:tcW w:w="640" w:type="dxa"/>
            <w:tcBorders>
              <w:top w:val="single" w:sz="4" w:space="0" w:color="000080"/>
              <w:bottom w:val="single" w:sz="4" w:space="0" w:color="000080"/>
            </w:tcBorders>
            <w:shd w:val="clear" w:color="auto" w:fill="auto"/>
            <w:vAlign w:val="center"/>
          </w:tcPr>
          <w:p w14:paraId="1C392C56" w14:textId="77777777" w:rsidR="00061155" w:rsidRDefault="00061155">
            <w:pPr>
              <w:spacing w:line="240" w:lineRule="auto"/>
              <w:ind w:firstLine="0"/>
              <w:jc w:val="center"/>
            </w:pPr>
            <w:r>
              <w:rPr>
                <w:rFonts w:cs="Calibri"/>
                <w:color w:val="000000"/>
                <w:sz w:val="16"/>
                <w:szCs w:val="16"/>
              </w:rPr>
              <w:t>16</w:t>
            </w:r>
          </w:p>
        </w:tc>
        <w:tc>
          <w:tcPr>
            <w:tcW w:w="669" w:type="dxa"/>
            <w:tcBorders>
              <w:top w:val="single" w:sz="4" w:space="0" w:color="000080"/>
              <w:bottom w:val="single" w:sz="4" w:space="0" w:color="000080"/>
            </w:tcBorders>
            <w:shd w:val="clear" w:color="auto" w:fill="auto"/>
            <w:vAlign w:val="center"/>
          </w:tcPr>
          <w:p w14:paraId="58668D52" w14:textId="77777777" w:rsidR="00061155" w:rsidRDefault="00061155">
            <w:pPr>
              <w:spacing w:line="240" w:lineRule="auto"/>
              <w:ind w:firstLine="0"/>
              <w:jc w:val="center"/>
            </w:pPr>
            <w:r>
              <w:rPr>
                <w:rFonts w:cs="Calibri"/>
                <w:color w:val="000000"/>
                <w:sz w:val="16"/>
                <w:szCs w:val="16"/>
              </w:rPr>
              <w:t>16</w:t>
            </w:r>
          </w:p>
        </w:tc>
        <w:tc>
          <w:tcPr>
            <w:tcW w:w="616" w:type="dxa"/>
            <w:tcBorders>
              <w:top w:val="single" w:sz="4" w:space="0" w:color="000080"/>
              <w:bottom w:val="single" w:sz="4" w:space="0" w:color="000080"/>
            </w:tcBorders>
            <w:shd w:val="clear" w:color="auto" w:fill="auto"/>
            <w:vAlign w:val="center"/>
          </w:tcPr>
          <w:p w14:paraId="714877D3" w14:textId="77777777" w:rsidR="00061155" w:rsidRDefault="00061155">
            <w:pPr>
              <w:spacing w:line="240" w:lineRule="auto"/>
              <w:ind w:firstLine="0"/>
              <w:jc w:val="center"/>
            </w:pPr>
            <w:r>
              <w:rPr>
                <w:rFonts w:cs="Calibri"/>
                <w:color w:val="000000"/>
                <w:sz w:val="16"/>
                <w:szCs w:val="16"/>
              </w:rPr>
              <w:t>10</w:t>
            </w:r>
          </w:p>
        </w:tc>
        <w:tc>
          <w:tcPr>
            <w:tcW w:w="463" w:type="dxa"/>
            <w:tcBorders>
              <w:top w:val="single" w:sz="4" w:space="0" w:color="000080"/>
              <w:bottom w:val="single" w:sz="4" w:space="0" w:color="000080"/>
            </w:tcBorders>
            <w:shd w:val="clear" w:color="auto" w:fill="auto"/>
            <w:vAlign w:val="center"/>
          </w:tcPr>
          <w:p w14:paraId="0429CF38" w14:textId="77777777" w:rsidR="00061155" w:rsidRDefault="00061155">
            <w:pPr>
              <w:spacing w:line="240" w:lineRule="auto"/>
              <w:ind w:firstLine="0"/>
              <w:jc w:val="center"/>
            </w:pPr>
            <w:r>
              <w:rPr>
                <w:rFonts w:cs="Calibri"/>
                <w:color w:val="000000"/>
                <w:sz w:val="16"/>
                <w:szCs w:val="16"/>
              </w:rPr>
              <w:t>8</w:t>
            </w:r>
          </w:p>
        </w:tc>
        <w:tc>
          <w:tcPr>
            <w:tcW w:w="546" w:type="dxa"/>
            <w:tcBorders>
              <w:top w:val="single" w:sz="4" w:space="0" w:color="000080"/>
              <w:bottom w:val="single" w:sz="4" w:space="0" w:color="000080"/>
            </w:tcBorders>
            <w:shd w:val="clear" w:color="auto" w:fill="auto"/>
            <w:vAlign w:val="center"/>
          </w:tcPr>
          <w:p w14:paraId="52FF4AAB" w14:textId="77777777" w:rsidR="00061155" w:rsidRDefault="00061155">
            <w:pPr>
              <w:spacing w:line="240" w:lineRule="auto"/>
              <w:ind w:firstLine="0"/>
              <w:jc w:val="center"/>
            </w:pPr>
            <w:r>
              <w:rPr>
                <w:rFonts w:cs="Calibri"/>
                <w:color w:val="000000"/>
                <w:sz w:val="16"/>
                <w:szCs w:val="16"/>
              </w:rPr>
              <w:t>75</w:t>
            </w:r>
          </w:p>
        </w:tc>
        <w:tc>
          <w:tcPr>
            <w:tcW w:w="239" w:type="dxa"/>
            <w:tcBorders>
              <w:top w:val="single" w:sz="4" w:space="0" w:color="000080"/>
              <w:bottom w:val="single" w:sz="4" w:space="0" w:color="000080"/>
            </w:tcBorders>
            <w:shd w:val="clear" w:color="auto" w:fill="auto"/>
            <w:vAlign w:val="center"/>
          </w:tcPr>
          <w:p w14:paraId="26E06C39"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0AA481FB" w14:textId="77777777" w:rsidR="00061155" w:rsidRDefault="00061155">
            <w:pPr>
              <w:spacing w:line="240" w:lineRule="auto"/>
              <w:ind w:firstLine="0"/>
              <w:jc w:val="center"/>
            </w:pPr>
            <w:r>
              <w:rPr>
                <w:rFonts w:cs="Calibri"/>
                <w:color w:val="000000"/>
                <w:sz w:val="16"/>
                <w:szCs w:val="16"/>
              </w:rPr>
              <w:t>4</w:t>
            </w:r>
          </w:p>
        </w:tc>
        <w:tc>
          <w:tcPr>
            <w:tcW w:w="609" w:type="dxa"/>
            <w:tcBorders>
              <w:top w:val="single" w:sz="4" w:space="0" w:color="000080"/>
              <w:bottom w:val="single" w:sz="4" w:space="0" w:color="000080"/>
            </w:tcBorders>
            <w:shd w:val="clear" w:color="auto" w:fill="auto"/>
            <w:vAlign w:val="center"/>
          </w:tcPr>
          <w:p w14:paraId="641B214B" w14:textId="77777777" w:rsidR="00061155" w:rsidRDefault="00061155">
            <w:pPr>
              <w:spacing w:line="240" w:lineRule="auto"/>
              <w:ind w:firstLine="0"/>
              <w:jc w:val="center"/>
            </w:pPr>
            <w:r>
              <w:rPr>
                <w:rFonts w:cs="Calibri"/>
                <w:color w:val="000000"/>
                <w:sz w:val="16"/>
                <w:szCs w:val="16"/>
              </w:rPr>
              <w:t>2</w:t>
            </w:r>
          </w:p>
        </w:tc>
        <w:tc>
          <w:tcPr>
            <w:tcW w:w="638" w:type="dxa"/>
            <w:tcBorders>
              <w:top w:val="single" w:sz="4" w:space="0" w:color="000080"/>
              <w:bottom w:val="single" w:sz="4" w:space="0" w:color="000080"/>
            </w:tcBorders>
            <w:shd w:val="clear" w:color="auto" w:fill="auto"/>
            <w:vAlign w:val="center"/>
          </w:tcPr>
          <w:p w14:paraId="7FD93367" w14:textId="77777777" w:rsidR="00061155" w:rsidRDefault="00061155">
            <w:pPr>
              <w:spacing w:line="240" w:lineRule="auto"/>
              <w:ind w:firstLine="0"/>
              <w:jc w:val="center"/>
            </w:pPr>
            <w:r>
              <w:rPr>
                <w:rFonts w:cs="Calibri"/>
                <w:color w:val="000000"/>
                <w:sz w:val="16"/>
                <w:szCs w:val="16"/>
              </w:rPr>
              <w:t>3</w:t>
            </w:r>
          </w:p>
        </w:tc>
        <w:tc>
          <w:tcPr>
            <w:tcW w:w="586" w:type="dxa"/>
            <w:tcBorders>
              <w:top w:val="single" w:sz="4" w:space="0" w:color="000080"/>
              <w:bottom w:val="single" w:sz="4" w:space="0" w:color="000080"/>
            </w:tcBorders>
            <w:shd w:val="clear" w:color="auto" w:fill="auto"/>
            <w:vAlign w:val="center"/>
          </w:tcPr>
          <w:p w14:paraId="4A95EB9B" w14:textId="77777777" w:rsidR="00061155" w:rsidRDefault="00061155">
            <w:pPr>
              <w:spacing w:line="240" w:lineRule="auto"/>
              <w:ind w:firstLine="0"/>
              <w:jc w:val="center"/>
            </w:pPr>
            <w:r>
              <w:rPr>
                <w:rFonts w:cs="Calibri"/>
                <w:color w:val="000000"/>
                <w:sz w:val="16"/>
                <w:szCs w:val="16"/>
              </w:rPr>
              <w:t>2</w:t>
            </w:r>
          </w:p>
        </w:tc>
        <w:tc>
          <w:tcPr>
            <w:tcW w:w="432" w:type="dxa"/>
            <w:tcBorders>
              <w:top w:val="single" w:sz="4" w:space="0" w:color="000080"/>
              <w:bottom w:val="single" w:sz="4" w:space="0" w:color="000080"/>
            </w:tcBorders>
            <w:shd w:val="clear" w:color="auto" w:fill="auto"/>
            <w:vAlign w:val="center"/>
          </w:tcPr>
          <w:p w14:paraId="747C7671" w14:textId="77777777" w:rsidR="00061155" w:rsidRDefault="00061155">
            <w:pPr>
              <w:spacing w:line="240" w:lineRule="auto"/>
              <w:ind w:firstLine="0"/>
              <w:jc w:val="center"/>
            </w:pPr>
            <w:r>
              <w:rPr>
                <w:rFonts w:cs="Calibri"/>
                <w:color w:val="000000"/>
                <w:sz w:val="16"/>
                <w:szCs w:val="16"/>
              </w:rPr>
              <w:t>1</w:t>
            </w:r>
          </w:p>
        </w:tc>
        <w:tc>
          <w:tcPr>
            <w:tcW w:w="515" w:type="dxa"/>
            <w:tcBorders>
              <w:top w:val="single" w:sz="4" w:space="0" w:color="000080"/>
              <w:bottom w:val="single" w:sz="4" w:space="0" w:color="000080"/>
            </w:tcBorders>
            <w:shd w:val="clear" w:color="auto" w:fill="auto"/>
            <w:vAlign w:val="center"/>
          </w:tcPr>
          <w:p w14:paraId="65D8C4C9" w14:textId="77777777" w:rsidR="00061155" w:rsidRDefault="00061155">
            <w:pPr>
              <w:spacing w:line="240" w:lineRule="auto"/>
              <w:ind w:firstLine="0"/>
              <w:jc w:val="center"/>
            </w:pPr>
            <w:r>
              <w:rPr>
                <w:rFonts w:cs="Calibri"/>
                <w:color w:val="000000"/>
                <w:sz w:val="16"/>
                <w:szCs w:val="16"/>
              </w:rPr>
              <w:t>12</w:t>
            </w:r>
          </w:p>
        </w:tc>
        <w:tc>
          <w:tcPr>
            <w:tcW w:w="239" w:type="dxa"/>
            <w:tcBorders>
              <w:top w:val="single" w:sz="4" w:space="0" w:color="000080"/>
              <w:bottom w:val="single" w:sz="4" w:space="0" w:color="000080"/>
            </w:tcBorders>
            <w:shd w:val="clear" w:color="auto" w:fill="auto"/>
            <w:vAlign w:val="center"/>
          </w:tcPr>
          <w:p w14:paraId="4802370C"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1806B402" w14:textId="77777777" w:rsidR="00061155" w:rsidRDefault="00061155">
            <w:pPr>
              <w:spacing w:line="240" w:lineRule="auto"/>
              <w:ind w:firstLine="0"/>
              <w:jc w:val="center"/>
            </w:pPr>
            <w:r>
              <w:rPr>
                <w:rFonts w:cs="Calibri"/>
                <w:color w:val="000000"/>
                <w:sz w:val="16"/>
                <w:szCs w:val="16"/>
              </w:rPr>
              <w:t>87</w:t>
            </w:r>
          </w:p>
        </w:tc>
      </w:tr>
      <w:tr w:rsidR="00061155" w14:paraId="1CEE2A9A" w14:textId="77777777">
        <w:trPr>
          <w:trHeight w:val="244"/>
        </w:trPr>
        <w:tc>
          <w:tcPr>
            <w:tcW w:w="6231" w:type="dxa"/>
            <w:tcBorders>
              <w:top w:val="single" w:sz="4" w:space="0" w:color="000080"/>
              <w:bottom w:val="single" w:sz="4" w:space="0" w:color="000080"/>
            </w:tcBorders>
            <w:shd w:val="clear" w:color="auto" w:fill="auto"/>
            <w:vAlign w:val="center"/>
          </w:tcPr>
          <w:p w14:paraId="7B229778" w14:textId="77777777" w:rsidR="00061155" w:rsidRDefault="00061155">
            <w:pPr>
              <w:pStyle w:val="Paragrafoelenco"/>
              <w:numPr>
                <w:ilvl w:val="0"/>
                <w:numId w:val="4"/>
              </w:numPr>
              <w:spacing w:line="240" w:lineRule="auto"/>
            </w:pPr>
            <w:r>
              <w:rPr>
                <w:rFonts w:cs="Calibri"/>
                <w:color w:val="000000"/>
                <w:sz w:val="16"/>
                <w:szCs w:val="16"/>
              </w:rPr>
              <w:t>Feel good (e.g., have fun, rest, be calm, be free, avoid stress and fatigue).</w:t>
            </w:r>
          </w:p>
        </w:tc>
        <w:tc>
          <w:tcPr>
            <w:tcW w:w="239" w:type="dxa"/>
            <w:tcBorders>
              <w:top w:val="single" w:sz="4" w:space="0" w:color="000080"/>
              <w:bottom w:val="single" w:sz="4" w:space="0" w:color="000080"/>
            </w:tcBorders>
            <w:shd w:val="clear" w:color="auto" w:fill="auto"/>
          </w:tcPr>
          <w:p w14:paraId="7919DC7D"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702C9806" w14:textId="77777777" w:rsidR="00061155" w:rsidRDefault="00061155">
            <w:pPr>
              <w:spacing w:line="240" w:lineRule="auto"/>
              <w:ind w:firstLine="0"/>
              <w:jc w:val="center"/>
            </w:pPr>
            <w:r>
              <w:rPr>
                <w:rFonts w:cs="Calibri"/>
                <w:color w:val="000000"/>
                <w:sz w:val="16"/>
                <w:szCs w:val="16"/>
              </w:rPr>
              <w:t>3</w:t>
            </w:r>
          </w:p>
        </w:tc>
        <w:tc>
          <w:tcPr>
            <w:tcW w:w="640" w:type="dxa"/>
            <w:tcBorders>
              <w:top w:val="single" w:sz="4" w:space="0" w:color="000080"/>
              <w:bottom w:val="single" w:sz="4" w:space="0" w:color="000080"/>
            </w:tcBorders>
            <w:shd w:val="clear" w:color="auto" w:fill="auto"/>
            <w:vAlign w:val="center"/>
          </w:tcPr>
          <w:p w14:paraId="79D11EAE" w14:textId="77777777" w:rsidR="00061155" w:rsidRDefault="00061155">
            <w:pPr>
              <w:spacing w:line="240" w:lineRule="auto"/>
              <w:ind w:firstLine="0"/>
              <w:jc w:val="center"/>
            </w:pPr>
            <w:r>
              <w:rPr>
                <w:rFonts w:cs="Calibri"/>
                <w:color w:val="000000"/>
                <w:sz w:val="16"/>
                <w:szCs w:val="16"/>
              </w:rPr>
              <w:t>9</w:t>
            </w:r>
          </w:p>
        </w:tc>
        <w:tc>
          <w:tcPr>
            <w:tcW w:w="669" w:type="dxa"/>
            <w:tcBorders>
              <w:top w:val="single" w:sz="4" w:space="0" w:color="000080"/>
              <w:bottom w:val="single" w:sz="4" w:space="0" w:color="000080"/>
            </w:tcBorders>
            <w:shd w:val="clear" w:color="auto" w:fill="auto"/>
            <w:vAlign w:val="center"/>
          </w:tcPr>
          <w:p w14:paraId="6692E6D4" w14:textId="77777777" w:rsidR="00061155" w:rsidRDefault="00061155">
            <w:pPr>
              <w:spacing w:line="240" w:lineRule="auto"/>
              <w:ind w:firstLine="0"/>
              <w:jc w:val="center"/>
            </w:pPr>
            <w:r>
              <w:rPr>
                <w:rFonts w:cs="Calibri"/>
                <w:color w:val="000000"/>
                <w:sz w:val="16"/>
                <w:szCs w:val="16"/>
              </w:rPr>
              <w:t>14</w:t>
            </w:r>
          </w:p>
        </w:tc>
        <w:tc>
          <w:tcPr>
            <w:tcW w:w="616" w:type="dxa"/>
            <w:tcBorders>
              <w:top w:val="single" w:sz="4" w:space="0" w:color="000080"/>
              <w:bottom w:val="single" w:sz="4" w:space="0" w:color="000080"/>
            </w:tcBorders>
            <w:shd w:val="clear" w:color="auto" w:fill="auto"/>
            <w:vAlign w:val="center"/>
          </w:tcPr>
          <w:p w14:paraId="2CAE4954" w14:textId="77777777" w:rsidR="00061155" w:rsidRDefault="00061155">
            <w:pPr>
              <w:spacing w:line="240" w:lineRule="auto"/>
              <w:ind w:firstLine="0"/>
              <w:jc w:val="center"/>
            </w:pPr>
            <w:r>
              <w:rPr>
                <w:rFonts w:cs="Calibri"/>
                <w:color w:val="000000"/>
                <w:sz w:val="16"/>
                <w:szCs w:val="16"/>
              </w:rPr>
              <w:t>8</w:t>
            </w:r>
          </w:p>
        </w:tc>
        <w:tc>
          <w:tcPr>
            <w:tcW w:w="463" w:type="dxa"/>
            <w:tcBorders>
              <w:top w:val="single" w:sz="4" w:space="0" w:color="000080"/>
              <w:bottom w:val="single" w:sz="4" w:space="0" w:color="000080"/>
            </w:tcBorders>
            <w:shd w:val="clear" w:color="auto" w:fill="auto"/>
            <w:vAlign w:val="center"/>
          </w:tcPr>
          <w:p w14:paraId="353FEE16" w14:textId="77777777" w:rsidR="00061155" w:rsidRDefault="00061155">
            <w:pPr>
              <w:spacing w:line="240" w:lineRule="auto"/>
              <w:ind w:firstLine="0"/>
              <w:jc w:val="center"/>
            </w:pPr>
            <w:r>
              <w:rPr>
                <w:rFonts w:cs="Calibri"/>
                <w:color w:val="000000"/>
                <w:sz w:val="16"/>
                <w:szCs w:val="16"/>
              </w:rPr>
              <w:t>5</w:t>
            </w:r>
          </w:p>
        </w:tc>
        <w:tc>
          <w:tcPr>
            <w:tcW w:w="546" w:type="dxa"/>
            <w:tcBorders>
              <w:top w:val="single" w:sz="4" w:space="0" w:color="000080"/>
              <w:bottom w:val="single" w:sz="4" w:space="0" w:color="000080"/>
            </w:tcBorders>
            <w:shd w:val="clear" w:color="auto" w:fill="auto"/>
            <w:vAlign w:val="center"/>
          </w:tcPr>
          <w:p w14:paraId="709DA246" w14:textId="77777777" w:rsidR="00061155" w:rsidRDefault="00061155">
            <w:pPr>
              <w:spacing w:line="240" w:lineRule="auto"/>
              <w:ind w:firstLine="0"/>
              <w:jc w:val="center"/>
            </w:pPr>
            <w:r>
              <w:rPr>
                <w:rFonts w:cs="Calibri"/>
                <w:color w:val="000000"/>
                <w:sz w:val="16"/>
                <w:szCs w:val="16"/>
              </w:rPr>
              <w:t>39</w:t>
            </w:r>
          </w:p>
        </w:tc>
        <w:tc>
          <w:tcPr>
            <w:tcW w:w="239" w:type="dxa"/>
            <w:tcBorders>
              <w:top w:val="single" w:sz="4" w:space="0" w:color="000080"/>
              <w:bottom w:val="single" w:sz="4" w:space="0" w:color="000080"/>
            </w:tcBorders>
            <w:shd w:val="clear" w:color="auto" w:fill="auto"/>
            <w:vAlign w:val="center"/>
          </w:tcPr>
          <w:p w14:paraId="6A6740ED"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1632BAB6" w14:textId="77777777" w:rsidR="00061155" w:rsidRDefault="00061155">
            <w:pPr>
              <w:spacing w:line="240" w:lineRule="auto"/>
              <w:ind w:firstLine="0"/>
              <w:jc w:val="center"/>
            </w:pPr>
            <w:r>
              <w:rPr>
                <w:rFonts w:cs="Calibri"/>
                <w:color w:val="000000"/>
                <w:sz w:val="16"/>
                <w:szCs w:val="16"/>
              </w:rPr>
              <w:t>45</w:t>
            </w:r>
          </w:p>
        </w:tc>
        <w:tc>
          <w:tcPr>
            <w:tcW w:w="609" w:type="dxa"/>
            <w:tcBorders>
              <w:top w:val="single" w:sz="4" w:space="0" w:color="000080"/>
              <w:bottom w:val="single" w:sz="4" w:space="0" w:color="000080"/>
            </w:tcBorders>
            <w:shd w:val="clear" w:color="auto" w:fill="auto"/>
            <w:vAlign w:val="center"/>
          </w:tcPr>
          <w:p w14:paraId="3331A033" w14:textId="77777777" w:rsidR="00061155" w:rsidRDefault="00061155">
            <w:pPr>
              <w:spacing w:line="240" w:lineRule="auto"/>
              <w:ind w:firstLine="0"/>
              <w:jc w:val="center"/>
            </w:pPr>
            <w:r>
              <w:rPr>
                <w:rFonts w:cs="Calibri"/>
                <w:color w:val="000000"/>
                <w:sz w:val="16"/>
                <w:szCs w:val="16"/>
              </w:rPr>
              <w:t>35</w:t>
            </w:r>
          </w:p>
        </w:tc>
        <w:tc>
          <w:tcPr>
            <w:tcW w:w="638" w:type="dxa"/>
            <w:tcBorders>
              <w:top w:val="single" w:sz="4" w:space="0" w:color="000080"/>
              <w:bottom w:val="single" w:sz="4" w:space="0" w:color="000080"/>
            </w:tcBorders>
            <w:shd w:val="clear" w:color="auto" w:fill="auto"/>
            <w:vAlign w:val="center"/>
          </w:tcPr>
          <w:p w14:paraId="11DB9454" w14:textId="77777777" w:rsidR="00061155" w:rsidRDefault="00061155">
            <w:pPr>
              <w:spacing w:line="240" w:lineRule="auto"/>
              <w:ind w:firstLine="0"/>
              <w:jc w:val="center"/>
            </w:pPr>
            <w:r>
              <w:rPr>
                <w:rFonts w:cs="Calibri"/>
                <w:color w:val="000000"/>
                <w:sz w:val="16"/>
                <w:szCs w:val="16"/>
              </w:rPr>
              <w:t>18</w:t>
            </w:r>
          </w:p>
        </w:tc>
        <w:tc>
          <w:tcPr>
            <w:tcW w:w="586" w:type="dxa"/>
            <w:tcBorders>
              <w:top w:val="single" w:sz="4" w:space="0" w:color="000080"/>
              <w:bottom w:val="single" w:sz="4" w:space="0" w:color="000080"/>
            </w:tcBorders>
            <w:shd w:val="clear" w:color="auto" w:fill="auto"/>
            <w:vAlign w:val="center"/>
          </w:tcPr>
          <w:p w14:paraId="2FD61F27" w14:textId="77777777" w:rsidR="00061155" w:rsidRDefault="00061155">
            <w:pPr>
              <w:spacing w:line="240" w:lineRule="auto"/>
              <w:ind w:firstLine="0"/>
              <w:jc w:val="center"/>
            </w:pPr>
            <w:r>
              <w:rPr>
                <w:rFonts w:cs="Calibri"/>
                <w:color w:val="000000"/>
                <w:sz w:val="16"/>
                <w:szCs w:val="16"/>
              </w:rPr>
              <w:t>25</w:t>
            </w:r>
          </w:p>
        </w:tc>
        <w:tc>
          <w:tcPr>
            <w:tcW w:w="432" w:type="dxa"/>
            <w:tcBorders>
              <w:top w:val="single" w:sz="4" w:space="0" w:color="000080"/>
              <w:bottom w:val="single" w:sz="4" w:space="0" w:color="000080"/>
            </w:tcBorders>
            <w:shd w:val="clear" w:color="auto" w:fill="auto"/>
            <w:vAlign w:val="center"/>
          </w:tcPr>
          <w:p w14:paraId="4475DD54" w14:textId="77777777" w:rsidR="00061155" w:rsidRDefault="00061155">
            <w:pPr>
              <w:spacing w:line="240" w:lineRule="auto"/>
              <w:ind w:firstLine="0"/>
              <w:jc w:val="center"/>
            </w:pPr>
            <w:r>
              <w:rPr>
                <w:rFonts w:cs="Calibri"/>
                <w:color w:val="000000"/>
                <w:sz w:val="16"/>
                <w:szCs w:val="16"/>
              </w:rPr>
              <w:t>9</w:t>
            </w:r>
          </w:p>
        </w:tc>
        <w:tc>
          <w:tcPr>
            <w:tcW w:w="515" w:type="dxa"/>
            <w:tcBorders>
              <w:top w:val="single" w:sz="4" w:space="0" w:color="000080"/>
              <w:bottom w:val="single" w:sz="4" w:space="0" w:color="000080"/>
            </w:tcBorders>
            <w:shd w:val="clear" w:color="auto" w:fill="auto"/>
            <w:vAlign w:val="center"/>
          </w:tcPr>
          <w:p w14:paraId="78B8C843" w14:textId="77777777" w:rsidR="00061155" w:rsidRDefault="00061155">
            <w:pPr>
              <w:spacing w:line="240" w:lineRule="auto"/>
              <w:ind w:firstLine="0"/>
              <w:jc w:val="center"/>
            </w:pPr>
            <w:r>
              <w:rPr>
                <w:rFonts w:cs="Calibri"/>
                <w:color w:val="000000"/>
                <w:sz w:val="16"/>
                <w:szCs w:val="16"/>
              </w:rPr>
              <w:t>132</w:t>
            </w:r>
          </w:p>
        </w:tc>
        <w:tc>
          <w:tcPr>
            <w:tcW w:w="239" w:type="dxa"/>
            <w:tcBorders>
              <w:top w:val="single" w:sz="4" w:space="0" w:color="000080"/>
              <w:bottom w:val="single" w:sz="4" w:space="0" w:color="000080"/>
            </w:tcBorders>
            <w:shd w:val="clear" w:color="auto" w:fill="auto"/>
            <w:vAlign w:val="center"/>
          </w:tcPr>
          <w:p w14:paraId="63E7AFFE"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4A5794A4" w14:textId="77777777" w:rsidR="00061155" w:rsidRDefault="00061155">
            <w:pPr>
              <w:spacing w:line="240" w:lineRule="auto"/>
              <w:ind w:firstLine="0"/>
              <w:jc w:val="center"/>
            </w:pPr>
            <w:r>
              <w:rPr>
                <w:rFonts w:cs="Calibri"/>
                <w:color w:val="000000"/>
                <w:sz w:val="16"/>
                <w:szCs w:val="16"/>
              </w:rPr>
              <w:t>171</w:t>
            </w:r>
          </w:p>
        </w:tc>
      </w:tr>
      <w:tr w:rsidR="00061155" w14:paraId="4E8123DF" w14:textId="77777777">
        <w:trPr>
          <w:trHeight w:val="244"/>
        </w:trPr>
        <w:tc>
          <w:tcPr>
            <w:tcW w:w="6231" w:type="dxa"/>
            <w:tcBorders>
              <w:top w:val="single" w:sz="4" w:space="0" w:color="000080"/>
              <w:bottom w:val="single" w:sz="4" w:space="0" w:color="000080"/>
            </w:tcBorders>
            <w:shd w:val="clear" w:color="auto" w:fill="auto"/>
            <w:vAlign w:val="center"/>
          </w:tcPr>
          <w:p w14:paraId="77E5134F" w14:textId="77777777" w:rsidR="00061155" w:rsidRDefault="00061155">
            <w:pPr>
              <w:pStyle w:val="Paragrafoelenco"/>
              <w:numPr>
                <w:ilvl w:val="0"/>
                <w:numId w:val="4"/>
              </w:numPr>
              <w:spacing w:line="240" w:lineRule="auto"/>
            </w:pPr>
            <w:r>
              <w:rPr>
                <w:rFonts w:cs="Calibri"/>
                <w:color w:val="000000"/>
                <w:sz w:val="16"/>
                <w:szCs w:val="16"/>
              </w:rPr>
              <w:t>Try new sensations (e.g. do new things, feel strong emotions, get out of the routine, test your limits)</w:t>
            </w:r>
          </w:p>
        </w:tc>
        <w:tc>
          <w:tcPr>
            <w:tcW w:w="239" w:type="dxa"/>
            <w:tcBorders>
              <w:top w:val="single" w:sz="4" w:space="0" w:color="000080"/>
              <w:bottom w:val="single" w:sz="4" w:space="0" w:color="000080"/>
            </w:tcBorders>
            <w:shd w:val="clear" w:color="auto" w:fill="auto"/>
          </w:tcPr>
          <w:p w14:paraId="2A22B4D6"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10804864" w14:textId="77777777" w:rsidR="00061155" w:rsidRDefault="00061155">
            <w:pPr>
              <w:spacing w:line="240" w:lineRule="auto"/>
              <w:ind w:firstLine="0"/>
              <w:jc w:val="center"/>
            </w:pPr>
            <w:r>
              <w:rPr>
                <w:rFonts w:cs="Calibri"/>
                <w:color w:val="000000"/>
                <w:sz w:val="16"/>
                <w:szCs w:val="16"/>
              </w:rPr>
              <w:t>3</w:t>
            </w:r>
          </w:p>
        </w:tc>
        <w:tc>
          <w:tcPr>
            <w:tcW w:w="640" w:type="dxa"/>
            <w:tcBorders>
              <w:top w:val="single" w:sz="4" w:space="0" w:color="000080"/>
              <w:bottom w:val="single" w:sz="4" w:space="0" w:color="000080"/>
            </w:tcBorders>
            <w:shd w:val="clear" w:color="auto" w:fill="auto"/>
            <w:vAlign w:val="center"/>
          </w:tcPr>
          <w:p w14:paraId="2465E538" w14:textId="77777777" w:rsidR="00061155" w:rsidRDefault="00061155">
            <w:pPr>
              <w:spacing w:line="240" w:lineRule="auto"/>
              <w:ind w:firstLine="0"/>
              <w:jc w:val="center"/>
            </w:pPr>
            <w:r>
              <w:rPr>
                <w:rFonts w:cs="Calibri"/>
                <w:color w:val="000000"/>
                <w:sz w:val="16"/>
                <w:szCs w:val="16"/>
              </w:rPr>
              <w:t>0</w:t>
            </w:r>
          </w:p>
        </w:tc>
        <w:tc>
          <w:tcPr>
            <w:tcW w:w="669" w:type="dxa"/>
            <w:tcBorders>
              <w:top w:val="single" w:sz="4" w:space="0" w:color="000080"/>
              <w:bottom w:val="single" w:sz="4" w:space="0" w:color="000080"/>
            </w:tcBorders>
            <w:shd w:val="clear" w:color="auto" w:fill="auto"/>
            <w:vAlign w:val="center"/>
          </w:tcPr>
          <w:p w14:paraId="7417545B" w14:textId="77777777" w:rsidR="00061155" w:rsidRDefault="00061155">
            <w:pPr>
              <w:spacing w:line="240" w:lineRule="auto"/>
              <w:ind w:firstLine="0"/>
              <w:jc w:val="center"/>
            </w:pPr>
            <w:r>
              <w:rPr>
                <w:rFonts w:cs="Calibri"/>
                <w:color w:val="000000"/>
                <w:sz w:val="16"/>
                <w:szCs w:val="16"/>
              </w:rPr>
              <w:t>0</w:t>
            </w:r>
          </w:p>
        </w:tc>
        <w:tc>
          <w:tcPr>
            <w:tcW w:w="616" w:type="dxa"/>
            <w:tcBorders>
              <w:top w:val="single" w:sz="4" w:space="0" w:color="000080"/>
              <w:bottom w:val="single" w:sz="4" w:space="0" w:color="000080"/>
            </w:tcBorders>
            <w:shd w:val="clear" w:color="auto" w:fill="auto"/>
            <w:vAlign w:val="center"/>
          </w:tcPr>
          <w:p w14:paraId="3E0C1E0C" w14:textId="77777777" w:rsidR="00061155" w:rsidRDefault="00061155">
            <w:pPr>
              <w:spacing w:line="240" w:lineRule="auto"/>
              <w:ind w:firstLine="0"/>
              <w:jc w:val="center"/>
            </w:pPr>
            <w:r>
              <w:rPr>
                <w:rFonts w:cs="Calibri"/>
                <w:color w:val="000000"/>
                <w:sz w:val="16"/>
                <w:szCs w:val="16"/>
              </w:rPr>
              <w:t>0</w:t>
            </w:r>
          </w:p>
        </w:tc>
        <w:tc>
          <w:tcPr>
            <w:tcW w:w="463" w:type="dxa"/>
            <w:tcBorders>
              <w:top w:val="single" w:sz="4" w:space="0" w:color="000080"/>
              <w:bottom w:val="single" w:sz="4" w:space="0" w:color="000080"/>
            </w:tcBorders>
            <w:shd w:val="clear" w:color="auto" w:fill="auto"/>
            <w:vAlign w:val="center"/>
          </w:tcPr>
          <w:p w14:paraId="71E976EB"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2483F6EE" w14:textId="77777777" w:rsidR="00061155" w:rsidRDefault="00061155">
            <w:pPr>
              <w:spacing w:line="240" w:lineRule="auto"/>
              <w:ind w:firstLine="0"/>
              <w:jc w:val="center"/>
            </w:pPr>
            <w:r>
              <w:rPr>
                <w:rFonts w:cs="Calibri"/>
                <w:color w:val="000000"/>
                <w:sz w:val="16"/>
                <w:szCs w:val="16"/>
              </w:rPr>
              <w:t>3</w:t>
            </w:r>
          </w:p>
        </w:tc>
        <w:tc>
          <w:tcPr>
            <w:tcW w:w="239" w:type="dxa"/>
            <w:tcBorders>
              <w:top w:val="single" w:sz="4" w:space="0" w:color="000080"/>
              <w:bottom w:val="single" w:sz="4" w:space="0" w:color="000080"/>
            </w:tcBorders>
            <w:shd w:val="clear" w:color="auto" w:fill="auto"/>
            <w:vAlign w:val="center"/>
          </w:tcPr>
          <w:p w14:paraId="75A4CF1E"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4EAA96C0" w14:textId="77777777" w:rsidR="00061155" w:rsidRDefault="00061155">
            <w:pPr>
              <w:spacing w:line="240" w:lineRule="auto"/>
              <w:ind w:firstLine="0"/>
              <w:jc w:val="center"/>
            </w:pPr>
            <w:r>
              <w:rPr>
                <w:rFonts w:cs="Calibri"/>
                <w:color w:val="000000"/>
                <w:sz w:val="16"/>
                <w:szCs w:val="16"/>
              </w:rPr>
              <w:t>2</w:t>
            </w:r>
          </w:p>
        </w:tc>
        <w:tc>
          <w:tcPr>
            <w:tcW w:w="609" w:type="dxa"/>
            <w:tcBorders>
              <w:top w:val="single" w:sz="4" w:space="0" w:color="000080"/>
              <w:bottom w:val="single" w:sz="4" w:space="0" w:color="000080"/>
            </w:tcBorders>
            <w:shd w:val="clear" w:color="auto" w:fill="auto"/>
            <w:vAlign w:val="center"/>
          </w:tcPr>
          <w:p w14:paraId="0166307A" w14:textId="77777777" w:rsidR="00061155" w:rsidRDefault="00061155">
            <w:pPr>
              <w:spacing w:line="240" w:lineRule="auto"/>
              <w:ind w:firstLine="0"/>
              <w:jc w:val="center"/>
            </w:pPr>
            <w:r>
              <w:rPr>
                <w:rFonts w:cs="Calibri"/>
                <w:color w:val="000000"/>
                <w:sz w:val="16"/>
                <w:szCs w:val="16"/>
              </w:rPr>
              <w:t>62</w:t>
            </w:r>
          </w:p>
        </w:tc>
        <w:tc>
          <w:tcPr>
            <w:tcW w:w="638" w:type="dxa"/>
            <w:tcBorders>
              <w:top w:val="single" w:sz="4" w:space="0" w:color="000080"/>
              <w:bottom w:val="single" w:sz="4" w:space="0" w:color="000080"/>
            </w:tcBorders>
            <w:shd w:val="clear" w:color="auto" w:fill="auto"/>
            <w:vAlign w:val="center"/>
          </w:tcPr>
          <w:p w14:paraId="485E5AF0" w14:textId="77777777" w:rsidR="00061155" w:rsidRDefault="00061155">
            <w:pPr>
              <w:spacing w:line="240" w:lineRule="auto"/>
              <w:ind w:firstLine="0"/>
              <w:jc w:val="center"/>
            </w:pPr>
            <w:r>
              <w:rPr>
                <w:rFonts w:cs="Calibri"/>
                <w:color w:val="000000"/>
                <w:sz w:val="16"/>
                <w:szCs w:val="16"/>
              </w:rPr>
              <w:t>11</w:t>
            </w:r>
          </w:p>
        </w:tc>
        <w:tc>
          <w:tcPr>
            <w:tcW w:w="586" w:type="dxa"/>
            <w:tcBorders>
              <w:top w:val="single" w:sz="4" w:space="0" w:color="000080"/>
              <w:bottom w:val="single" w:sz="4" w:space="0" w:color="000080"/>
            </w:tcBorders>
            <w:shd w:val="clear" w:color="auto" w:fill="auto"/>
            <w:vAlign w:val="center"/>
          </w:tcPr>
          <w:p w14:paraId="66D37FE1" w14:textId="77777777" w:rsidR="00061155" w:rsidRDefault="00061155">
            <w:pPr>
              <w:spacing w:line="240" w:lineRule="auto"/>
              <w:ind w:firstLine="0"/>
              <w:jc w:val="center"/>
            </w:pPr>
            <w:r>
              <w:rPr>
                <w:rFonts w:cs="Calibri"/>
                <w:color w:val="000000"/>
                <w:sz w:val="16"/>
                <w:szCs w:val="16"/>
              </w:rPr>
              <w:t>22</w:t>
            </w:r>
          </w:p>
        </w:tc>
        <w:tc>
          <w:tcPr>
            <w:tcW w:w="432" w:type="dxa"/>
            <w:tcBorders>
              <w:top w:val="single" w:sz="4" w:space="0" w:color="000080"/>
              <w:bottom w:val="single" w:sz="4" w:space="0" w:color="000080"/>
            </w:tcBorders>
            <w:shd w:val="clear" w:color="auto" w:fill="auto"/>
            <w:vAlign w:val="center"/>
          </w:tcPr>
          <w:p w14:paraId="5ADDC61C" w14:textId="77777777" w:rsidR="00061155" w:rsidRDefault="00061155">
            <w:pPr>
              <w:spacing w:line="240" w:lineRule="auto"/>
              <w:ind w:firstLine="0"/>
              <w:jc w:val="center"/>
            </w:pPr>
            <w:r>
              <w:rPr>
                <w:rFonts w:cs="Calibri"/>
                <w:color w:val="000000"/>
                <w:sz w:val="16"/>
                <w:szCs w:val="16"/>
              </w:rPr>
              <w:t>12</w:t>
            </w:r>
          </w:p>
        </w:tc>
        <w:tc>
          <w:tcPr>
            <w:tcW w:w="515" w:type="dxa"/>
            <w:tcBorders>
              <w:top w:val="single" w:sz="4" w:space="0" w:color="000080"/>
              <w:bottom w:val="single" w:sz="4" w:space="0" w:color="000080"/>
            </w:tcBorders>
            <w:shd w:val="clear" w:color="auto" w:fill="auto"/>
            <w:vAlign w:val="center"/>
          </w:tcPr>
          <w:p w14:paraId="0906052E" w14:textId="77777777" w:rsidR="00061155" w:rsidRDefault="00061155">
            <w:pPr>
              <w:spacing w:line="240" w:lineRule="auto"/>
              <w:ind w:firstLine="0"/>
              <w:jc w:val="center"/>
            </w:pPr>
            <w:r>
              <w:rPr>
                <w:rFonts w:cs="Calibri"/>
                <w:color w:val="000000"/>
                <w:sz w:val="16"/>
                <w:szCs w:val="16"/>
              </w:rPr>
              <w:t>109</w:t>
            </w:r>
          </w:p>
        </w:tc>
        <w:tc>
          <w:tcPr>
            <w:tcW w:w="239" w:type="dxa"/>
            <w:tcBorders>
              <w:top w:val="single" w:sz="4" w:space="0" w:color="000080"/>
              <w:bottom w:val="single" w:sz="4" w:space="0" w:color="000080"/>
            </w:tcBorders>
            <w:shd w:val="clear" w:color="auto" w:fill="auto"/>
            <w:vAlign w:val="center"/>
          </w:tcPr>
          <w:p w14:paraId="4701637E"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1B52B1F1" w14:textId="77777777" w:rsidR="00061155" w:rsidRDefault="00061155">
            <w:pPr>
              <w:spacing w:line="240" w:lineRule="auto"/>
              <w:ind w:firstLine="0"/>
              <w:jc w:val="center"/>
            </w:pPr>
            <w:r>
              <w:rPr>
                <w:rFonts w:cs="Calibri"/>
                <w:color w:val="000000"/>
                <w:sz w:val="16"/>
                <w:szCs w:val="16"/>
              </w:rPr>
              <w:t>112</w:t>
            </w:r>
          </w:p>
        </w:tc>
      </w:tr>
      <w:tr w:rsidR="00061155" w14:paraId="21AEA9B0" w14:textId="77777777">
        <w:trPr>
          <w:trHeight w:val="244"/>
        </w:trPr>
        <w:tc>
          <w:tcPr>
            <w:tcW w:w="6231" w:type="dxa"/>
            <w:tcBorders>
              <w:top w:val="single" w:sz="4" w:space="0" w:color="000080"/>
              <w:bottom w:val="single" w:sz="4" w:space="0" w:color="000080"/>
            </w:tcBorders>
            <w:shd w:val="clear" w:color="auto" w:fill="auto"/>
            <w:vAlign w:val="center"/>
          </w:tcPr>
          <w:p w14:paraId="4B49FA21" w14:textId="77777777" w:rsidR="00061155" w:rsidRDefault="00061155">
            <w:pPr>
              <w:pStyle w:val="Paragrafoelenco"/>
              <w:numPr>
                <w:ilvl w:val="0"/>
                <w:numId w:val="4"/>
              </w:numPr>
              <w:spacing w:line="240" w:lineRule="auto"/>
            </w:pPr>
            <w:r>
              <w:rPr>
                <w:rFonts w:cs="Calibri"/>
                <w:color w:val="000000"/>
                <w:sz w:val="16"/>
                <w:szCs w:val="16"/>
              </w:rPr>
              <w:t>Manifest or vent a negative emotion</w:t>
            </w:r>
          </w:p>
        </w:tc>
        <w:tc>
          <w:tcPr>
            <w:tcW w:w="239" w:type="dxa"/>
            <w:tcBorders>
              <w:top w:val="single" w:sz="4" w:space="0" w:color="000080"/>
              <w:bottom w:val="single" w:sz="4" w:space="0" w:color="000080"/>
            </w:tcBorders>
            <w:shd w:val="clear" w:color="auto" w:fill="auto"/>
          </w:tcPr>
          <w:p w14:paraId="700D8ED7"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532DB98D" w14:textId="77777777" w:rsidR="00061155" w:rsidRDefault="00061155">
            <w:pPr>
              <w:spacing w:line="240" w:lineRule="auto"/>
              <w:ind w:firstLine="0"/>
              <w:jc w:val="center"/>
            </w:pPr>
            <w:r>
              <w:rPr>
                <w:rFonts w:cs="Calibri"/>
                <w:color w:val="000000"/>
                <w:sz w:val="16"/>
                <w:szCs w:val="16"/>
              </w:rPr>
              <w:t>0</w:t>
            </w:r>
          </w:p>
        </w:tc>
        <w:tc>
          <w:tcPr>
            <w:tcW w:w="640" w:type="dxa"/>
            <w:tcBorders>
              <w:top w:val="single" w:sz="4" w:space="0" w:color="000080"/>
              <w:bottom w:val="single" w:sz="4" w:space="0" w:color="000080"/>
            </w:tcBorders>
            <w:shd w:val="clear" w:color="auto" w:fill="auto"/>
            <w:vAlign w:val="center"/>
          </w:tcPr>
          <w:p w14:paraId="1C344259" w14:textId="77777777" w:rsidR="00061155" w:rsidRDefault="00061155">
            <w:pPr>
              <w:spacing w:line="240" w:lineRule="auto"/>
              <w:ind w:firstLine="0"/>
              <w:jc w:val="center"/>
            </w:pPr>
            <w:r>
              <w:rPr>
                <w:rFonts w:cs="Calibri"/>
                <w:color w:val="000000"/>
                <w:sz w:val="16"/>
                <w:szCs w:val="16"/>
              </w:rPr>
              <w:t>0</w:t>
            </w:r>
          </w:p>
        </w:tc>
        <w:tc>
          <w:tcPr>
            <w:tcW w:w="669" w:type="dxa"/>
            <w:tcBorders>
              <w:top w:val="single" w:sz="4" w:space="0" w:color="000080"/>
              <w:bottom w:val="single" w:sz="4" w:space="0" w:color="000080"/>
            </w:tcBorders>
            <w:shd w:val="clear" w:color="auto" w:fill="auto"/>
            <w:vAlign w:val="center"/>
          </w:tcPr>
          <w:p w14:paraId="1BE207EE" w14:textId="77777777" w:rsidR="00061155" w:rsidRDefault="00061155">
            <w:pPr>
              <w:spacing w:line="240" w:lineRule="auto"/>
              <w:ind w:firstLine="0"/>
              <w:jc w:val="center"/>
            </w:pPr>
            <w:r>
              <w:rPr>
                <w:rFonts w:cs="Calibri"/>
                <w:color w:val="000000"/>
                <w:sz w:val="16"/>
                <w:szCs w:val="16"/>
              </w:rPr>
              <w:t>0</w:t>
            </w:r>
          </w:p>
        </w:tc>
        <w:tc>
          <w:tcPr>
            <w:tcW w:w="616" w:type="dxa"/>
            <w:tcBorders>
              <w:top w:val="single" w:sz="4" w:space="0" w:color="000080"/>
              <w:bottom w:val="single" w:sz="4" w:space="0" w:color="000080"/>
            </w:tcBorders>
            <w:shd w:val="clear" w:color="auto" w:fill="auto"/>
            <w:vAlign w:val="center"/>
          </w:tcPr>
          <w:p w14:paraId="495706C2" w14:textId="77777777" w:rsidR="00061155" w:rsidRDefault="00061155">
            <w:pPr>
              <w:spacing w:line="240" w:lineRule="auto"/>
              <w:ind w:firstLine="0"/>
              <w:jc w:val="center"/>
            </w:pPr>
            <w:r>
              <w:rPr>
                <w:rFonts w:cs="Calibri"/>
                <w:color w:val="000000"/>
                <w:sz w:val="16"/>
                <w:szCs w:val="16"/>
              </w:rPr>
              <w:t>0</w:t>
            </w:r>
          </w:p>
        </w:tc>
        <w:tc>
          <w:tcPr>
            <w:tcW w:w="463" w:type="dxa"/>
            <w:tcBorders>
              <w:top w:val="single" w:sz="4" w:space="0" w:color="000080"/>
              <w:bottom w:val="single" w:sz="4" w:space="0" w:color="000080"/>
            </w:tcBorders>
            <w:shd w:val="clear" w:color="auto" w:fill="auto"/>
            <w:vAlign w:val="center"/>
          </w:tcPr>
          <w:p w14:paraId="2AAB1D64"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019341CD" w14:textId="77777777" w:rsidR="00061155" w:rsidRDefault="00061155">
            <w:pPr>
              <w:spacing w:line="240" w:lineRule="auto"/>
              <w:ind w:firstLine="0"/>
              <w:jc w:val="center"/>
            </w:pPr>
            <w:r>
              <w:rPr>
                <w:rFonts w:cs="Calibri"/>
                <w:color w:val="000000"/>
                <w:sz w:val="16"/>
                <w:szCs w:val="16"/>
              </w:rPr>
              <w:t>0</w:t>
            </w:r>
          </w:p>
        </w:tc>
        <w:tc>
          <w:tcPr>
            <w:tcW w:w="239" w:type="dxa"/>
            <w:tcBorders>
              <w:top w:val="single" w:sz="4" w:space="0" w:color="000080"/>
              <w:bottom w:val="single" w:sz="4" w:space="0" w:color="000080"/>
            </w:tcBorders>
            <w:shd w:val="clear" w:color="auto" w:fill="auto"/>
            <w:vAlign w:val="center"/>
          </w:tcPr>
          <w:p w14:paraId="094FF8FE"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5C0FDF7F" w14:textId="77777777" w:rsidR="00061155" w:rsidRDefault="00061155">
            <w:pPr>
              <w:spacing w:line="240" w:lineRule="auto"/>
              <w:ind w:firstLine="0"/>
              <w:jc w:val="center"/>
            </w:pPr>
            <w:r>
              <w:rPr>
                <w:rFonts w:cs="Calibri"/>
                <w:color w:val="000000"/>
                <w:sz w:val="16"/>
                <w:szCs w:val="16"/>
              </w:rPr>
              <w:t>10</w:t>
            </w:r>
          </w:p>
        </w:tc>
        <w:tc>
          <w:tcPr>
            <w:tcW w:w="609" w:type="dxa"/>
            <w:tcBorders>
              <w:top w:val="single" w:sz="4" w:space="0" w:color="000080"/>
              <w:bottom w:val="single" w:sz="4" w:space="0" w:color="000080"/>
            </w:tcBorders>
            <w:shd w:val="clear" w:color="auto" w:fill="auto"/>
            <w:vAlign w:val="center"/>
          </w:tcPr>
          <w:p w14:paraId="67FDEB74" w14:textId="77777777" w:rsidR="00061155" w:rsidRDefault="00061155">
            <w:pPr>
              <w:spacing w:line="240" w:lineRule="auto"/>
              <w:ind w:firstLine="0"/>
              <w:jc w:val="center"/>
            </w:pPr>
            <w:r>
              <w:rPr>
                <w:rFonts w:cs="Calibri"/>
                <w:color w:val="000000"/>
                <w:sz w:val="16"/>
                <w:szCs w:val="16"/>
              </w:rPr>
              <w:t>15</w:t>
            </w:r>
          </w:p>
        </w:tc>
        <w:tc>
          <w:tcPr>
            <w:tcW w:w="638" w:type="dxa"/>
            <w:tcBorders>
              <w:top w:val="single" w:sz="4" w:space="0" w:color="000080"/>
              <w:bottom w:val="single" w:sz="4" w:space="0" w:color="000080"/>
            </w:tcBorders>
            <w:shd w:val="clear" w:color="auto" w:fill="auto"/>
            <w:vAlign w:val="center"/>
          </w:tcPr>
          <w:p w14:paraId="133EC145" w14:textId="77777777" w:rsidR="00061155" w:rsidRDefault="00061155">
            <w:pPr>
              <w:spacing w:line="240" w:lineRule="auto"/>
              <w:ind w:firstLine="0"/>
              <w:jc w:val="center"/>
            </w:pPr>
            <w:r>
              <w:rPr>
                <w:rFonts w:cs="Calibri"/>
                <w:color w:val="000000"/>
                <w:sz w:val="16"/>
                <w:szCs w:val="16"/>
              </w:rPr>
              <w:t>6</w:t>
            </w:r>
          </w:p>
        </w:tc>
        <w:tc>
          <w:tcPr>
            <w:tcW w:w="586" w:type="dxa"/>
            <w:tcBorders>
              <w:top w:val="single" w:sz="4" w:space="0" w:color="000080"/>
              <w:bottom w:val="single" w:sz="4" w:space="0" w:color="000080"/>
            </w:tcBorders>
            <w:shd w:val="clear" w:color="auto" w:fill="auto"/>
            <w:vAlign w:val="center"/>
          </w:tcPr>
          <w:p w14:paraId="69893EC5" w14:textId="77777777" w:rsidR="00061155" w:rsidRDefault="00061155">
            <w:pPr>
              <w:spacing w:line="240" w:lineRule="auto"/>
              <w:ind w:firstLine="0"/>
              <w:jc w:val="center"/>
            </w:pPr>
            <w:r>
              <w:rPr>
                <w:rFonts w:cs="Calibri"/>
                <w:color w:val="000000"/>
                <w:sz w:val="16"/>
                <w:szCs w:val="16"/>
              </w:rPr>
              <w:t>10</w:t>
            </w:r>
          </w:p>
        </w:tc>
        <w:tc>
          <w:tcPr>
            <w:tcW w:w="432" w:type="dxa"/>
            <w:tcBorders>
              <w:top w:val="single" w:sz="4" w:space="0" w:color="000080"/>
              <w:bottom w:val="single" w:sz="4" w:space="0" w:color="000080"/>
            </w:tcBorders>
            <w:shd w:val="clear" w:color="auto" w:fill="auto"/>
            <w:vAlign w:val="center"/>
          </w:tcPr>
          <w:p w14:paraId="5139E914" w14:textId="77777777" w:rsidR="00061155" w:rsidRDefault="00061155">
            <w:pPr>
              <w:spacing w:line="240" w:lineRule="auto"/>
              <w:ind w:firstLine="0"/>
              <w:jc w:val="center"/>
            </w:pPr>
            <w:r>
              <w:rPr>
                <w:rFonts w:cs="Calibri"/>
                <w:color w:val="000000"/>
                <w:sz w:val="16"/>
                <w:szCs w:val="16"/>
              </w:rPr>
              <w:t>4</w:t>
            </w:r>
          </w:p>
        </w:tc>
        <w:tc>
          <w:tcPr>
            <w:tcW w:w="515" w:type="dxa"/>
            <w:tcBorders>
              <w:top w:val="single" w:sz="4" w:space="0" w:color="000080"/>
              <w:bottom w:val="single" w:sz="4" w:space="0" w:color="000080"/>
            </w:tcBorders>
            <w:shd w:val="clear" w:color="auto" w:fill="auto"/>
            <w:vAlign w:val="center"/>
          </w:tcPr>
          <w:p w14:paraId="35AF721E" w14:textId="77777777" w:rsidR="00061155" w:rsidRDefault="00061155">
            <w:pPr>
              <w:spacing w:line="240" w:lineRule="auto"/>
              <w:ind w:firstLine="0"/>
              <w:jc w:val="center"/>
            </w:pPr>
            <w:r>
              <w:rPr>
                <w:rFonts w:cs="Calibri"/>
                <w:color w:val="000000"/>
                <w:sz w:val="16"/>
                <w:szCs w:val="16"/>
              </w:rPr>
              <w:t>45</w:t>
            </w:r>
          </w:p>
        </w:tc>
        <w:tc>
          <w:tcPr>
            <w:tcW w:w="239" w:type="dxa"/>
            <w:tcBorders>
              <w:top w:val="single" w:sz="4" w:space="0" w:color="000080"/>
              <w:bottom w:val="single" w:sz="4" w:space="0" w:color="000080"/>
            </w:tcBorders>
            <w:shd w:val="clear" w:color="auto" w:fill="auto"/>
            <w:vAlign w:val="center"/>
          </w:tcPr>
          <w:p w14:paraId="26B9B82D"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3DDB5091" w14:textId="77777777" w:rsidR="00061155" w:rsidRDefault="00061155">
            <w:pPr>
              <w:spacing w:line="240" w:lineRule="auto"/>
              <w:ind w:firstLine="0"/>
              <w:jc w:val="center"/>
            </w:pPr>
            <w:r>
              <w:rPr>
                <w:rFonts w:cs="Calibri"/>
                <w:color w:val="000000"/>
                <w:sz w:val="16"/>
                <w:szCs w:val="16"/>
              </w:rPr>
              <w:t>45</w:t>
            </w:r>
          </w:p>
        </w:tc>
      </w:tr>
      <w:tr w:rsidR="00061155" w14:paraId="55B88F7E" w14:textId="77777777">
        <w:trPr>
          <w:trHeight w:val="244"/>
        </w:trPr>
        <w:tc>
          <w:tcPr>
            <w:tcW w:w="6231" w:type="dxa"/>
            <w:tcBorders>
              <w:top w:val="single" w:sz="4" w:space="0" w:color="000080"/>
              <w:bottom w:val="single" w:sz="4" w:space="0" w:color="000080"/>
            </w:tcBorders>
            <w:shd w:val="clear" w:color="auto" w:fill="auto"/>
            <w:vAlign w:val="center"/>
          </w:tcPr>
          <w:p w14:paraId="44B084B4" w14:textId="77777777" w:rsidR="00061155" w:rsidRDefault="00061155">
            <w:pPr>
              <w:pStyle w:val="Paragrafoelenco"/>
              <w:numPr>
                <w:ilvl w:val="0"/>
                <w:numId w:val="4"/>
              </w:numPr>
              <w:spacing w:line="240" w:lineRule="auto"/>
            </w:pPr>
            <w:r>
              <w:rPr>
                <w:rFonts w:cs="Calibri"/>
                <w:color w:val="000000"/>
                <w:sz w:val="16"/>
                <w:szCs w:val="16"/>
              </w:rPr>
              <w:t>Regulate or avoid a negative emotion</w:t>
            </w:r>
          </w:p>
        </w:tc>
        <w:tc>
          <w:tcPr>
            <w:tcW w:w="239" w:type="dxa"/>
            <w:tcBorders>
              <w:top w:val="single" w:sz="4" w:space="0" w:color="000080"/>
              <w:bottom w:val="single" w:sz="4" w:space="0" w:color="000080"/>
            </w:tcBorders>
            <w:shd w:val="clear" w:color="auto" w:fill="auto"/>
          </w:tcPr>
          <w:p w14:paraId="42DFB6F8"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1B7B302C" w14:textId="77777777" w:rsidR="00061155" w:rsidRDefault="00061155">
            <w:pPr>
              <w:spacing w:line="240" w:lineRule="auto"/>
              <w:ind w:firstLine="0"/>
              <w:jc w:val="center"/>
            </w:pPr>
            <w:r>
              <w:rPr>
                <w:rFonts w:cs="Calibri"/>
                <w:color w:val="000000"/>
                <w:sz w:val="16"/>
                <w:szCs w:val="16"/>
              </w:rPr>
              <w:t>1</w:t>
            </w:r>
          </w:p>
        </w:tc>
        <w:tc>
          <w:tcPr>
            <w:tcW w:w="640" w:type="dxa"/>
            <w:tcBorders>
              <w:top w:val="single" w:sz="4" w:space="0" w:color="000080"/>
              <w:bottom w:val="single" w:sz="4" w:space="0" w:color="000080"/>
            </w:tcBorders>
            <w:shd w:val="clear" w:color="auto" w:fill="auto"/>
            <w:vAlign w:val="center"/>
          </w:tcPr>
          <w:p w14:paraId="5FF3C6EC" w14:textId="77777777" w:rsidR="00061155" w:rsidRDefault="00061155">
            <w:pPr>
              <w:spacing w:line="240" w:lineRule="auto"/>
              <w:ind w:firstLine="0"/>
              <w:jc w:val="center"/>
            </w:pPr>
            <w:r>
              <w:rPr>
                <w:rFonts w:cs="Calibri"/>
                <w:color w:val="000000"/>
                <w:sz w:val="16"/>
                <w:szCs w:val="16"/>
              </w:rPr>
              <w:t>6</w:t>
            </w:r>
          </w:p>
        </w:tc>
        <w:tc>
          <w:tcPr>
            <w:tcW w:w="669" w:type="dxa"/>
            <w:tcBorders>
              <w:top w:val="single" w:sz="4" w:space="0" w:color="000080"/>
              <w:bottom w:val="single" w:sz="4" w:space="0" w:color="000080"/>
            </w:tcBorders>
            <w:shd w:val="clear" w:color="auto" w:fill="auto"/>
            <w:vAlign w:val="center"/>
          </w:tcPr>
          <w:p w14:paraId="26233BC1" w14:textId="77777777" w:rsidR="00061155" w:rsidRDefault="00061155">
            <w:pPr>
              <w:spacing w:line="240" w:lineRule="auto"/>
              <w:ind w:firstLine="0"/>
              <w:jc w:val="center"/>
            </w:pPr>
            <w:r>
              <w:rPr>
                <w:rFonts w:cs="Calibri"/>
                <w:color w:val="000000"/>
                <w:sz w:val="16"/>
                <w:szCs w:val="16"/>
              </w:rPr>
              <w:t>5</w:t>
            </w:r>
          </w:p>
        </w:tc>
        <w:tc>
          <w:tcPr>
            <w:tcW w:w="616" w:type="dxa"/>
            <w:tcBorders>
              <w:top w:val="single" w:sz="4" w:space="0" w:color="000080"/>
              <w:bottom w:val="single" w:sz="4" w:space="0" w:color="000080"/>
            </w:tcBorders>
            <w:shd w:val="clear" w:color="auto" w:fill="auto"/>
            <w:vAlign w:val="center"/>
          </w:tcPr>
          <w:p w14:paraId="30B823CC" w14:textId="77777777" w:rsidR="00061155" w:rsidRDefault="00061155">
            <w:pPr>
              <w:spacing w:line="240" w:lineRule="auto"/>
              <w:ind w:firstLine="0"/>
              <w:jc w:val="center"/>
            </w:pPr>
            <w:r>
              <w:rPr>
                <w:rFonts w:cs="Calibri"/>
                <w:color w:val="000000"/>
                <w:sz w:val="16"/>
                <w:szCs w:val="16"/>
              </w:rPr>
              <w:t>0</w:t>
            </w:r>
          </w:p>
        </w:tc>
        <w:tc>
          <w:tcPr>
            <w:tcW w:w="463" w:type="dxa"/>
            <w:tcBorders>
              <w:top w:val="single" w:sz="4" w:space="0" w:color="000080"/>
              <w:bottom w:val="single" w:sz="4" w:space="0" w:color="000080"/>
            </w:tcBorders>
            <w:shd w:val="clear" w:color="auto" w:fill="auto"/>
            <w:vAlign w:val="center"/>
          </w:tcPr>
          <w:p w14:paraId="234203EE"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369D8B7E" w14:textId="77777777" w:rsidR="00061155" w:rsidRDefault="00061155">
            <w:pPr>
              <w:spacing w:line="240" w:lineRule="auto"/>
              <w:ind w:firstLine="0"/>
              <w:jc w:val="center"/>
            </w:pPr>
            <w:r>
              <w:rPr>
                <w:rFonts w:cs="Calibri"/>
                <w:color w:val="000000"/>
                <w:sz w:val="16"/>
                <w:szCs w:val="16"/>
              </w:rPr>
              <w:t>12</w:t>
            </w:r>
          </w:p>
        </w:tc>
        <w:tc>
          <w:tcPr>
            <w:tcW w:w="239" w:type="dxa"/>
            <w:tcBorders>
              <w:top w:val="single" w:sz="4" w:space="0" w:color="000080"/>
              <w:bottom w:val="single" w:sz="4" w:space="0" w:color="000080"/>
            </w:tcBorders>
            <w:shd w:val="clear" w:color="auto" w:fill="auto"/>
            <w:vAlign w:val="center"/>
          </w:tcPr>
          <w:p w14:paraId="54FD25EE"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0EA50E67" w14:textId="77777777" w:rsidR="00061155" w:rsidRDefault="00061155">
            <w:pPr>
              <w:spacing w:line="240" w:lineRule="auto"/>
              <w:ind w:firstLine="0"/>
              <w:jc w:val="center"/>
            </w:pPr>
            <w:r>
              <w:rPr>
                <w:rFonts w:cs="Calibri"/>
                <w:color w:val="000000"/>
                <w:sz w:val="16"/>
                <w:szCs w:val="16"/>
              </w:rPr>
              <w:t>3</w:t>
            </w:r>
          </w:p>
        </w:tc>
        <w:tc>
          <w:tcPr>
            <w:tcW w:w="609" w:type="dxa"/>
            <w:tcBorders>
              <w:top w:val="single" w:sz="4" w:space="0" w:color="000080"/>
              <w:bottom w:val="single" w:sz="4" w:space="0" w:color="000080"/>
            </w:tcBorders>
            <w:shd w:val="clear" w:color="auto" w:fill="auto"/>
            <w:vAlign w:val="center"/>
          </w:tcPr>
          <w:p w14:paraId="6D265151" w14:textId="77777777" w:rsidR="00061155" w:rsidRDefault="00061155">
            <w:pPr>
              <w:spacing w:line="240" w:lineRule="auto"/>
              <w:ind w:firstLine="0"/>
              <w:jc w:val="center"/>
            </w:pPr>
            <w:r>
              <w:rPr>
                <w:rFonts w:cs="Calibri"/>
                <w:color w:val="000000"/>
                <w:sz w:val="16"/>
                <w:szCs w:val="16"/>
              </w:rPr>
              <w:t>4</w:t>
            </w:r>
          </w:p>
        </w:tc>
        <w:tc>
          <w:tcPr>
            <w:tcW w:w="638" w:type="dxa"/>
            <w:tcBorders>
              <w:top w:val="single" w:sz="4" w:space="0" w:color="000080"/>
              <w:bottom w:val="single" w:sz="4" w:space="0" w:color="000080"/>
            </w:tcBorders>
            <w:shd w:val="clear" w:color="auto" w:fill="auto"/>
            <w:vAlign w:val="center"/>
          </w:tcPr>
          <w:p w14:paraId="720A90B3" w14:textId="77777777" w:rsidR="00061155" w:rsidRDefault="00061155">
            <w:pPr>
              <w:spacing w:line="240" w:lineRule="auto"/>
              <w:ind w:firstLine="0"/>
              <w:jc w:val="center"/>
            </w:pPr>
            <w:r>
              <w:rPr>
                <w:rFonts w:cs="Calibri"/>
                <w:color w:val="000000"/>
                <w:sz w:val="16"/>
                <w:szCs w:val="16"/>
              </w:rPr>
              <w:t>3</w:t>
            </w:r>
          </w:p>
        </w:tc>
        <w:tc>
          <w:tcPr>
            <w:tcW w:w="586" w:type="dxa"/>
            <w:tcBorders>
              <w:top w:val="single" w:sz="4" w:space="0" w:color="000080"/>
              <w:bottom w:val="single" w:sz="4" w:space="0" w:color="000080"/>
            </w:tcBorders>
            <w:shd w:val="clear" w:color="auto" w:fill="auto"/>
            <w:vAlign w:val="center"/>
          </w:tcPr>
          <w:p w14:paraId="1A5E2209" w14:textId="77777777" w:rsidR="00061155" w:rsidRDefault="00061155">
            <w:pPr>
              <w:spacing w:line="240" w:lineRule="auto"/>
              <w:ind w:firstLine="0"/>
              <w:jc w:val="center"/>
            </w:pPr>
            <w:r>
              <w:rPr>
                <w:rFonts w:cs="Calibri"/>
                <w:color w:val="000000"/>
                <w:sz w:val="16"/>
                <w:szCs w:val="16"/>
              </w:rPr>
              <w:t>3</w:t>
            </w:r>
          </w:p>
        </w:tc>
        <w:tc>
          <w:tcPr>
            <w:tcW w:w="432" w:type="dxa"/>
            <w:tcBorders>
              <w:top w:val="single" w:sz="4" w:space="0" w:color="000080"/>
              <w:bottom w:val="single" w:sz="4" w:space="0" w:color="000080"/>
            </w:tcBorders>
            <w:shd w:val="clear" w:color="auto" w:fill="auto"/>
            <w:vAlign w:val="center"/>
          </w:tcPr>
          <w:p w14:paraId="284C6240" w14:textId="77777777" w:rsidR="00061155" w:rsidRDefault="00061155">
            <w:pPr>
              <w:spacing w:line="240" w:lineRule="auto"/>
              <w:ind w:firstLine="0"/>
              <w:jc w:val="center"/>
            </w:pPr>
            <w:r>
              <w:rPr>
                <w:rFonts w:cs="Calibri"/>
                <w:color w:val="000000"/>
                <w:sz w:val="16"/>
                <w:szCs w:val="16"/>
              </w:rPr>
              <w:t>3</w:t>
            </w:r>
          </w:p>
        </w:tc>
        <w:tc>
          <w:tcPr>
            <w:tcW w:w="515" w:type="dxa"/>
            <w:tcBorders>
              <w:top w:val="single" w:sz="4" w:space="0" w:color="000080"/>
              <w:bottom w:val="single" w:sz="4" w:space="0" w:color="000080"/>
            </w:tcBorders>
            <w:shd w:val="clear" w:color="auto" w:fill="auto"/>
            <w:vAlign w:val="center"/>
          </w:tcPr>
          <w:p w14:paraId="156206D2" w14:textId="77777777" w:rsidR="00061155" w:rsidRDefault="00061155">
            <w:pPr>
              <w:spacing w:line="240" w:lineRule="auto"/>
              <w:ind w:firstLine="0"/>
              <w:jc w:val="center"/>
            </w:pPr>
            <w:r>
              <w:rPr>
                <w:rFonts w:cs="Calibri"/>
                <w:color w:val="000000"/>
                <w:sz w:val="16"/>
                <w:szCs w:val="16"/>
              </w:rPr>
              <w:t>16</w:t>
            </w:r>
          </w:p>
        </w:tc>
        <w:tc>
          <w:tcPr>
            <w:tcW w:w="239" w:type="dxa"/>
            <w:tcBorders>
              <w:top w:val="single" w:sz="4" w:space="0" w:color="000080"/>
              <w:bottom w:val="single" w:sz="4" w:space="0" w:color="000080"/>
            </w:tcBorders>
            <w:shd w:val="clear" w:color="auto" w:fill="auto"/>
            <w:vAlign w:val="center"/>
          </w:tcPr>
          <w:p w14:paraId="6CAC6A65"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2D7AA92B" w14:textId="77777777" w:rsidR="00061155" w:rsidRDefault="00061155">
            <w:pPr>
              <w:spacing w:line="240" w:lineRule="auto"/>
              <w:ind w:firstLine="0"/>
              <w:jc w:val="center"/>
            </w:pPr>
            <w:r>
              <w:rPr>
                <w:rFonts w:cs="Calibri"/>
                <w:color w:val="000000"/>
                <w:sz w:val="16"/>
                <w:szCs w:val="16"/>
              </w:rPr>
              <w:t>28</w:t>
            </w:r>
          </w:p>
        </w:tc>
      </w:tr>
      <w:tr w:rsidR="00061155" w14:paraId="065261EF" w14:textId="77777777">
        <w:trPr>
          <w:trHeight w:val="244"/>
        </w:trPr>
        <w:tc>
          <w:tcPr>
            <w:tcW w:w="6231" w:type="dxa"/>
            <w:tcBorders>
              <w:top w:val="single" w:sz="4" w:space="0" w:color="000080"/>
              <w:bottom w:val="single" w:sz="4" w:space="0" w:color="000080"/>
            </w:tcBorders>
            <w:shd w:val="clear" w:color="auto" w:fill="auto"/>
            <w:vAlign w:val="center"/>
          </w:tcPr>
          <w:p w14:paraId="2465A972" w14:textId="77777777" w:rsidR="00061155" w:rsidRDefault="00061155">
            <w:pPr>
              <w:pStyle w:val="Paragrafoelenco"/>
              <w:numPr>
                <w:ilvl w:val="0"/>
                <w:numId w:val="4"/>
              </w:numPr>
              <w:spacing w:line="240" w:lineRule="auto"/>
            </w:pPr>
            <w:r>
              <w:rPr>
                <w:rFonts w:cs="Calibri"/>
                <w:color w:val="000000"/>
                <w:sz w:val="16"/>
                <w:szCs w:val="16"/>
              </w:rPr>
              <w:t>Think, reflect (e.g., make thoughtful decisions, solve difficult problems, leave nothing to chance, be creative)</w:t>
            </w:r>
          </w:p>
        </w:tc>
        <w:tc>
          <w:tcPr>
            <w:tcW w:w="239" w:type="dxa"/>
            <w:tcBorders>
              <w:top w:val="single" w:sz="4" w:space="0" w:color="000080"/>
              <w:bottom w:val="single" w:sz="4" w:space="0" w:color="000080"/>
            </w:tcBorders>
            <w:shd w:val="clear" w:color="auto" w:fill="auto"/>
          </w:tcPr>
          <w:p w14:paraId="6B2237A1"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1ABD04B1" w14:textId="77777777" w:rsidR="00061155" w:rsidRDefault="00061155">
            <w:pPr>
              <w:spacing w:line="240" w:lineRule="auto"/>
              <w:ind w:firstLine="0"/>
              <w:jc w:val="center"/>
            </w:pPr>
            <w:r>
              <w:rPr>
                <w:rFonts w:cs="Calibri"/>
                <w:color w:val="000000"/>
                <w:sz w:val="16"/>
                <w:szCs w:val="16"/>
              </w:rPr>
              <w:t>10</w:t>
            </w:r>
          </w:p>
        </w:tc>
        <w:tc>
          <w:tcPr>
            <w:tcW w:w="640" w:type="dxa"/>
            <w:tcBorders>
              <w:top w:val="single" w:sz="4" w:space="0" w:color="000080"/>
              <w:bottom w:val="single" w:sz="4" w:space="0" w:color="000080"/>
            </w:tcBorders>
            <w:shd w:val="clear" w:color="auto" w:fill="auto"/>
            <w:vAlign w:val="center"/>
          </w:tcPr>
          <w:p w14:paraId="6069AEAD" w14:textId="77777777" w:rsidR="00061155" w:rsidRDefault="00061155">
            <w:pPr>
              <w:spacing w:line="240" w:lineRule="auto"/>
              <w:ind w:firstLine="0"/>
              <w:jc w:val="center"/>
            </w:pPr>
            <w:r>
              <w:rPr>
                <w:rFonts w:cs="Calibri"/>
                <w:color w:val="000000"/>
                <w:sz w:val="16"/>
                <w:szCs w:val="16"/>
              </w:rPr>
              <w:t>28</w:t>
            </w:r>
          </w:p>
        </w:tc>
        <w:tc>
          <w:tcPr>
            <w:tcW w:w="669" w:type="dxa"/>
            <w:tcBorders>
              <w:top w:val="single" w:sz="4" w:space="0" w:color="000080"/>
              <w:bottom w:val="single" w:sz="4" w:space="0" w:color="000080"/>
            </w:tcBorders>
            <w:shd w:val="clear" w:color="auto" w:fill="auto"/>
            <w:vAlign w:val="center"/>
          </w:tcPr>
          <w:p w14:paraId="515EFB6A" w14:textId="77777777" w:rsidR="00061155" w:rsidRDefault="00061155">
            <w:pPr>
              <w:spacing w:line="240" w:lineRule="auto"/>
              <w:ind w:firstLine="0"/>
              <w:jc w:val="center"/>
            </w:pPr>
            <w:r>
              <w:rPr>
                <w:rFonts w:cs="Calibri"/>
                <w:color w:val="000000"/>
                <w:sz w:val="16"/>
                <w:szCs w:val="16"/>
              </w:rPr>
              <w:t>3</w:t>
            </w:r>
          </w:p>
        </w:tc>
        <w:tc>
          <w:tcPr>
            <w:tcW w:w="616" w:type="dxa"/>
            <w:tcBorders>
              <w:top w:val="single" w:sz="4" w:space="0" w:color="000080"/>
              <w:bottom w:val="single" w:sz="4" w:space="0" w:color="000080"/>
            </w:tcBorders>
            <w:shd w:val="clear" w:color="auto" w:fill="auto"/>
            <w:vAlign w:val="center"/>
          </w:tcPr>
          <w:p w14:paraId="43DFDFCF" w14:textId="77777777" w:rsidR="00061155" w:rsidRDefault="00061155">
            <w:pPr>
              <w:spacing w:line="240" w:lineRule="auto"/>
              <w:ind w:firstLine="0"/>
              <w:jc w:val="center"/>
            </w:pPr>
            <w:r>
              <w:rPr>
                <w:rFonts w:cs="Calibri"/>
                <w:color w:val="000000"/>
                <w:sz w:val="16"/>
                <w:szCs w:val="16"/>
              </w:rPr>
              <w:t>6</w:t>
            </w:r>
          </w:p>
        </w:tc>
        <w:tc>
          <w:tcPr>
            <w:tcW w:w="463" w:type="dxa"/>
            <w:tcBorders>
              <w:top w:val="single" w:sz="4" w:space="0" w:color="000080"/>
              <w:bottom w:val="single" w:sz="4" w:space="0" w:color="000080"/>
            </w:tcBorders>
            <w:shd w:val="clear" w:color="auto" w:fill="auto"/>
            <w:vAlign w:val="center"/>
          </w:tcPr>
          <w:p w14:paraId="7E99DAEB" w14:textId="77777777" w:rsidR="00061155" w:rsidRDefault="00061155">
            <w:pPr>
              <w:spacing w:line="240" w:lineRule="auto"/>
              <w:ind w:firstLine="0"/>
              <w:jc w:val="center"/>
            </w:pPr>
            <w:r>
              <w:rPr>
                <w:rFonts w:cs="Calibri"/>
                <w:color w:val="000000"/>
                <w:sz w:val="16"/>
                <w:szCs w:val="16"/>
              </w:rPr>
              <w:t>2</w:t>
            </w:r>
          </w:p>
        </w:tc>
        <w:tc>
          <w:tcPr>
            <w:tcW w:w="546" w:type="dxa"/>
            <w:tcBorders>
              <w:top w:val="single" w:sz="4" w:space="0" w:color="000080"/>
              <w:bottom w:val="single" w:sz="4" w:space="0" w:color="000080"/>
            </w:tcBorders>
            <w:shd w:val="clear" w:color="auto" w:fill="auto"/>
            <w:vAlign w:val="center"/>
          </w:tcPr>
          <w:p w14:paraId="6F705797" w14:textId="77777777" w:rsidR="00061155" w:rsidRDefault="00061155">
            <w:pPr>
              <w:spacing w:line="240" w:lineRule="auto"/>
              <w:ind w:firstLine="0"/>
              <w:jc w:val="center"/>
            </w:pPr>
            <w:r>
              <w:rPr>
                <w:rFonts w:cs="Calibri"/>
                <w:color w:val="000000"/>
                <w:sz w:val="16"/>
                <w:szCs w:val="16"/>
              </w:rPr>
              <w:t>49</w:t>
            </w:r>
          </w:p>
        </w:tc>
        <w:tc>
          <w:tcPr>
            <w:tcW w:w="239" w:type="dxa"/>
            <w:tcBorders>
              <w:top w:val="single" w:sz="4" w:space="0" w:color="000080"/>
              <w:bottom w:val="single" w:sz="4" w:space="0" w:color="000080"/>
            </w:tcBorders>
            <w:shd w:val="clear" w:color="auto" w:fill="auto"/>
            <w:vAlign w:val="center"/>
          </w:tcPr>
          <w:p w14:paraId="43DD1D30"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14B5927B" w14:textId="77777777" w:rsidR="00061155" w:rsidRDefault="00061155">
            <w:pPr>
              <w:spacing w:line="240" w:lineRule="auto"/>
              <w:ind w:firstLine="0"/>
              <w:jc w:val="center"/>
            </w:pPr>
            <w:r>
              <w:rPr>
                <w:rFonts w:cs="Calibri"/>
                <w:color w:val="000000"/>
                <w:sz w:val="16"/>
                <w:szCs w:val="16"/>
              </w:rPr>
              <w:t>2</w:t>
            </w:r>
          </w:p>
        </w:tc>
        <w:tc>
          <w:tcPr>
            <w:tcW w:w="609" w:type="dxa"/>
            <w:tcBorders>
              <w:top w:val="single" w:sz="4" w:space="0" w:color="000080"/>
              <w:bottom w:val="single" w:sz="4" w:space="0" w:color="000080"/>
            </w:tcBorders>
            <w:shd w:val="clear" w:color="auto" w:fill="auto"/>
            <w:vAlign w:val="center"/>
          </w:tcPr>
          <w:p w14:paraId="14C13C92" w14:textId="77777777" w:rsidR="00061155" w:rsidRDefault="00061155">
            <w:pPr>
              <w:spacing w:line="240" w:lineRule="auto"/>
              <w:ind w:firstLine="0"/>
              <w:jc w:val="center"/>
            </w:pPr>
            <w:r>
              <w:rPr>
                <w:rFonts w:cs="Calibri"/>
                <w:color w:val="000000"/>
                <w:sz w:val="16"/>
                <w:szCs w:val="16"/>
              </w:rPr>
              <w:t>2</w:t>
            </w:r>
          </w:p>
        </w:tc>
        <w:tc>
          <w:tcPr>
            <w:tcW w:w="638" w:type="dxa"/>
            <w:tcBorders>
              <w:top w:val="single" w:sz="4" w:space="0" w:color="000080"/>
              <w:bottom w:val="single" w:sz="4" w:space="0" w:color="000080"/>
            </w:tcBorders>
            <w:shd w:val="clear" w:color="auto" w:fill="auto"/>
            <w:vAlign w:val="center"/>
          </w:tcPr>
          <w:p w14:paraId="543D763E" w14:textId="77777777" w:rsidR="00061155" w:rsidRDefault="00061155">
            <w:pPr>
              <w:spacing w:line="240" w:lineRule="auto"/>
              <w:ind w:firstLine="0"/>
              <w:jc w:val="center"/>
            </w:pPr>
            <w:r>
              <w:rPr>
                <w:rFonts w:cs="Calibri"/>
                <w:color w:val="000000"/>
                <w:sz w:val="16"/>
                <w:szCs w:val="16"/>
              </w:rPr>
              <w:t>4</w:t>
            </w:r>
          </w:p>
        </w:tc>
        <w:tc>
          <w:tcPr>
            <w:tcW w:w="586" w:type="dxa"/>
            <w:tcBorders>
              <w:top w:val="single" w:sz="4" w:space="0" w:color="000080"/>
              <w:bottom w:val="single" w:sz="4" w:space="0" w:color="000080"/>
            </w:tcBorders>
            <w:shd w:val="clear" w:color="auto" w:fill="auto"/>
            <w:vAlign w:val="center"/>
          </w:tcPr>
          <w:p w14:paraId="54EE141F" w14:textId="77777777" w:rsidR="00061155" w:rsidRDefault="00061155">
            <w:pPr>
              <w:spacing w:line="240" w:lineRule="auto"/>
              <w:ind w:firstLine="0"/>
              <w:jc w:val="center"/>
            </w:pPr>
            <w:r>
              <w:rPr>
                <w:rFonts w:cs="Calibri"/>
                <w:color w:val="000000"/>
                <w:sz w:val="16"/>
                <w:szCs w:val="16"/>
              </w:rPr>
              <w:t>0</w:t>
            </w:r>
          </w:p>
        </w:tc>
        <w:tc>
          <w:tcPr>
            <w:tcW w:w="432" w:type="dxa"/>
            <w:tcBorders>
              <w:top w:val="single" w:sz="4" w:space="0" w:color="000080"/>
              <w:bottom w:val="single" w:sz="4" w:space="0" w:color="000080"/>
            </w:tcBorders>
            <w:shd w:val="clear" w:color="auto" w:fill="auto"/>
            <w:vAlign w:val="center"/>
          </w:tcPr>
          <w:p w14:paraId="4C86BCCE" w14:textId="77777777" w:rsidR="00061155" w:rsidRDefault="00061155">
            <w:pPr>
              <w:spacing w:line="240" w:lineRule="auto"/>
              <w:ind w:firstLine="0"/>
              <w:jc w:val="center"/>
            </w:pPr>
            <w:r>
              <w:rPr>
                <w:rFonts w:cs="Calibri"/>
                <w:color w:val="000000"/>
                <w:sz w:val="16"/>
                <w:szCs w:val="16"/>
              </w:rPr>
              <w:t>0</w:t>
            </w:r>
          </w:p>
        </w:tc>
        <w:tc>
          <w:tcPr>
            <w:tcW w:w="515" w:type="dxa"/>
            <w:tcBorders>
              <w:top w:val="single" w:sz="4" w:space="0" w:color="000080"/>
              <w:bottom w:val="single" w:sz="4" w:space="0" w:color="000080"/>
            </w:tcBorders>
            <w:shd w:val="clear" w:color="auto" w:fill="auto"/>
            <w:vAlign w:val="center"/>
          </w:tcPr>
          <w:p w14:paraId="680618FA" w14:textId="77777777" w:rsidR="00061155" w:rsidRDefault="00061155">
            <w:pPr>
              <w:spacing w:line="240" w:lineRule="auto"/>
              <w:ind w:firstLine="0"/>
              <w:jc w:val="center"/>
            </w:pPr>
            <w:r>
              <w:rPr>
                <w:rFonts w:cs="Calibri"/>
                <w:color w:val="000000"/>
                <w:sz w:val="16"/>
                <w:szCs w:val="16"/>
              </w:rPr>
              <w:t>8</w:t>
            </w:r>
          </w:p>
        </w:tc>
        <w:tc>
          <w:tcPr>
            <w:tcW w:w="239" w:type="dxa"/>
            <w:tcBorders>
              <w:top w:val="single" w:sz="4" w:space="0" w:color="000080"/>
              <w:bottom w:val="single" w:sz="4" w:space="0" w:color="000080"/>
            </w:tcBorders>
            <w:shd w:val="clear" w:color="auto" w:fill="auto"/>
            <w:vAlign w:val="center"/>
          </w:tcPr>
          <w:p w14:paraId="4CF92F79"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0E9F0A14" w14:textId="77777777" w:rsidR="00061155" w:rsidRDefault="00061155">
            <w:pPr>
              <w:spacing w:line="240" w:lineRule="auto"/>
              <w:ind w:firstLine="0"/>
              <w:jc w:val="center"/>
            </w:pPr>
            <w:r>
              <w:rPr>
                <w:rFonts w:cs="Calibri"/>
                <w:color w:val="000000"/>
                <w:sz w:val="16"/>
                <w:szCs w:val="16"/>
              </w:rPr>
              <w:t>57</w:t>
            </w:r>
          </w:p>
        </w:tc>
      </w:tr>
      <w:tr w:rsidR="00061155" w14:paraId="52A49A8A" w14:textId="77777777">
        <w:trPr>
          <w:trHeight w:val="244"/>
        </w:trPr>
        <w:tc>
          <w:tcPr>
            <w:tcW w:w="6231" w:type="dxa"/>
            <w:tcBorders>
              <w:top w:val="single" w:sz="4" w:space="0" w:color="000080"/>
              <w:bottom w:val="single" w:sz="4" w:space="0" w:color="000080"/>
            </w:tcBorders>
            <w:shd w:val="clear" w:color="auto" w:fill="auto"/>
            <w:vAlign w:val="center"/>
          </w:tcPr>
          <w:p w14:paraId="2183B7F0" w14:textId="77777777" w:rsidR="00061155" w:rsidRDefault="00061155">
            <w:pPr>
              <w:pStyle w:val="Paragrafoelenco"/>
              <w:numPr>
                <w:ilvl w:val="0"/>
                <w:numId w:val="4"/>
              </w:numPr>
              <w:spacing w:line="240" w:lineRule="auto"/>
            </w:pPr>
            <w:r>
              <w:rPr>
                <w:rFonts w:cs="Calibri"/>
                <w:color w:val="000000"/>
                <w:sz w:val="16"/>
                <w:szCs w:val="16"/>
              </w:rPr>
              <w:t>Do not think (e.g., about problems, consequences, do not get obsessed)</w:t>
            </w:r>
          </w:p>
        </w:tc>
        <w:tc>
          <w:tcPr>
            <w:tcW w:w="239" w:type="dxa"/>
            <w:tcBorders>
              <w:top w:val="single" w:sz="4" w:space="0" w:color="000080"/>
              <w:bottom w:val="single" w:sz="4" w:space="0" w:color="000080"/>
            </w:tcBorders>
            <w:shd w:val="clear" w:color="auto" w:fill="auto"/>
          </w:tcPr>
          <w:p w14:paraId="553428CF" w14:textId="77777777" w:rsidR="00061155" w:rsidRDefault="00061155">
            <w:pPr>
              <w:snapToGrid w:val="0"/>
              <w:spacing w:line="240" w:lineRule="auto"/>
              <w:ind w:firstLine="0"/>
              <w:jc w:val="center"/>
              <w:rPr>
                <w:rFonts w:cs="Calibri"/>
                <w:color w:val="000000"/>
                <w:sz w:val="16"/>
                <w:szCs w:val="16"/>
              </w:rPr>
            </w:pPr>
          </w:p>
        </w:tc>
        <w:tc>
          <w:tcPr>
            <w:tcW w:w="603" w:type="dxa"/>
            <w:tcBorders>
              <w:top w:val="single" w:sz="4" w:space="0" w:color="000080"/>
              <w:bottom w:val="single" w:sz="4" w:space="0" w:color="000080"/>
            </w:tcBorders>
            <w:shd w:val="clear" w:color="auto" w:fill="auto"/>
            <w:vAlign w:val="center"/>
          </w:tcPr>
          <w:p w14:paraId="4D0E76FF" w14:textId="77777777" w:rsidR="00061155" w:rsidRDefault="00061155">
            <w:pPr>
              <w:spacing w:line="240" w:lineRule="auto"/>
              <w:ind w:firstLine="0"/>
              <w:jc w:val="center"/>
            </w:pPr>
            <w:r>
              <w:rPr>
                <w:rFonts w:cs="Calibri"/>
                <w:color w:val="000000"/>
                <w:sz w:val="16"/>
                <w:szCs w:val="16"/>
              </w:rPr>
              <w:t>0</w:t>
            </w:r>
          </w:p>
        </w:tc>
        <w:tc>
          <w:tcPr>
            <w:tcW w:w="640" w:type="dxa"/>
            <w:tcBorders>
              <w:top w:val="single" w:sz="4" w:space="0" w:color="000080"/>
              <w:bottom w:val="single" w:sz="4" w:space="0" w:color="000080"/>
            </w:tcBorders>
            <w:shd w:val="clear" w:color="auto" w:fill="auto"/>
            <w:vAlign w:val="center"/>
          </w:tcPr>
          <w:p w14:paraId="3EF800C2" w14:textId="77777777" w:rsidR="00061155" w:rsidRDefault="00061155">
            <w:pPr>
              <w:spacing w:line="240" w:lineRule="auto"/>
              <w:ind w:firstLine="0"/>
              <w:jc w:val="center"/>
            </w:pPr>
            <w:r>
              <w:rPr>
                <w:rFonts w:cs="Calibri"/>
                <w:color w:val="000000"/>
                <w:sz w:val="16"/>
                <w:szCs w:val="16"/>
              </w:rPr>
              <w:t>1</w:t>
            </w:r>
          </w:p>
        </w:tc>
        <w:tc>
          <w:tcPr>
            <w:tcW w:w="669" w:type="dxa"/>
            <w:tcBorders>
              <w:top w:val="single" w:sz="4" w:space="0" w:color="000080"/>
              <w:bottom w:val="single" w:sz="4" w:space="0" w:color="000080"/>
            </w:tcBorders>
            <w:shd w:val="clear" w:color="auto" w:fill="auto"/>
            <w:vAlign w:val="center"/>
          </w:tcPr>
          <w:p w14:paraId="4B41F070" w14:textId="77777777" w:rsidR="00061155" w:rsidRDefault="00061155">
            <w:pPr>
              <w:spacing w:line="240" w:lineRule="auto"/>
              <w:ind w:firstLine="0"/>
              <w:jc w:val="center"/>
            </w:pPr>
            <w:r>
              <w:rPr>
                <w:rFonts w:cs="Calibri"/>
                <w:color w:val="000000"/>
                <w:sz w:val="16"/>
                <w:szCs w:val="16"/>
              </w:rPr>
              <w:t>0</w:t>
            </w:r>
          </w:p>
        </w:tc>
        <w:tc>
          <w:tcPr>
            <w:tcW w:w="616" w:type="dxa"/>
            <w:tcBorders>
              <w:top w:val="single" w:sz="4" w:space="0" w:color="000080"/>
              <w:bottom w:val="single" w:sz="4" w:space="0" w:color="000080"/>
            </w:tcBorders>
            <w:shd w:val="clear" w:color="auto" w:fill="auto"/>
            <w:vAlign w:val="center"/>
          </w:tcPr>
          <w:p w14:paraId="3BB1C9FC" w14:textId="77777777" w:rsidR="00061155" w:rsidRDefault="00061155">
            <w:pPr>
              <w:spacing w:line="240" w:lineRule="auto"/>
              <w:ind w:firstLine="0"/>
              <w:jc w:val="center"/>
            </w:pPr>
            <w:r>
              <w:rPr>
                <w:rFonts w:cs="Calibri"/>
                <w:color w:val="000000"/>
                <w:sz w:val="16"/>
                <w:szCs w:val="16"/>
              </w:rPr>
              <w:t>1</w:t>
            </w:r>
          </w:p>
        </w:tc>
        <w:tc>
          <w:tcPr>
            <w:tcW w:w="463" w:type="dxa"/>
            <w:tcBorders>
              <w:top w:val="single" w:sz="4" w:space="0" w:color="000080"/>
              <w:bottom w:val="single" w:sz="4" w:space="0" w:color="000080"/>
            </w:tcBorders>
            <w:shd w:val="clear" w:color="auto" w:fill="auto"/>
            <w:vAlign w:val="center"/>
          </w:tcPr>
          <w:p w14:paraId="2E9EA576" w14:textId="77777777" w:rsidR="00061155" w:rsidRDefault="00061155">
            <w:pPr>
              <w:spacing w:line="240" w:lineRule="auto"/>
              <w:ind w:firstLine="0"/>
              <w:jc w:val="center"/>
            </w:pPr>
            <w:r>
              <w:rPr>
                <w:rFonts w:cs="Calibri"/>
                <w:color w:val="000000"/>
                <w:sz w:val="16"/>
                <w:szCs w:val="16"/>
              </w:rPr>
              <w:t>0</w:t>
            </w:r>
          </w:p>
        </w:tc>
        <w:tc>
          <w:tcPr>
            <w:tcW w:w="546" w:type="dxa"/>
            <w:tcBorders>
              <w:top w:val="single" w:sz="4" w:space="0" w:color="000080"/>
              <w:bottom w:val="single" w:sz="4" w:space="0" w:color="000080"/>
            </w:tcBorders>
            <w:shd w:val="clear" w:color="auto" w:fill="auto"/>
            <w:vAlign w:val="center"/>
          </w:tcPr>
          <w:p w14:paraId="173E5C56" w14:textId="77777777" w:rsidR="00061155" w:rsidRDefault="00061155">
            <w:pPr>
              <w:spacing w:line="240" w:lineRule="auto"/>
              <w:ind w:firstLine="0"/>
              <w:jc w:val="center"/>
            </w:pPr>
            <w:r>
              <w:rPr>
                <w:rFonts w:cs="Calibri"/>
                <w:color w:val="000000"/>
                <w:sz w:val="16"/>
                <w:szCs w:val="16"/>
              </w:rPr>
              <w:t>2</w:t>
            </w:r>
          </w:p>
        </w:tc>
        <w:tc>
          <w:tcPr>
            <w:tcW w:w="239" w:type="dxa"/>
            <w:tcBorders>
              <w:top w:val="single" w:sz="4" w:space="0" w:color="000080"/>
              <w:bottom w:val="single" w:sz="4" w:space="0" w:color="000080"/>
            </w:tcBorders>
            <w:shd w:val="clear" w:color="auto" w:fill="auto"/>
            <w:vAlign w:val="center"/>
          </w:tcPr>
          <w:p w14:paraId="4E69191F" w14:textId="77777777" w:rsidR="00061155" w:rsidRDefault="00061155">
            <w:pPr>
              <w:snapToGrid w:val="0"/>
              <w:spacing w:line="240" w:lineRule="auto"/>
              <w:ind w:firstLine="0"/>
              <w:jc w:val="center"/>
              <w:rPr>
                <w:rFonts w:cs="Calibri"/>
                <w:color w:val="000000"/>
                <w:sz w:val="16"/>
                <w:szCs w:val="16"/>
              </w:rPr>
            </w:pPr>
          </w:p>
        </w:tc>
        <w:tc>
          <w:tcPr>
            <w:tcW w:w="573" w:type="dxa"/>
            <w:tcBorders>
              <w:top w:val="single" w:sz="4" w:space="0" w:color="000080"/>
              <w:bottom w:val="single" w:sz="4" w:space="0" w:color="000080"/>
            </w:tcBorders>
            <w:shd w:val="clear" w:color="auto" w:fill="auto"/>
            <w:vAlign w:val="center"/>
          </w:tcPr>
          <w:p w14:paraId="30F597D9" w14:textId="77777777" w:rsidR="00061155" w:rsidRDefault="00061155">
            <w:pPr>
              <w:spacing w:line="240" w:lineRule="auto"/>
              <w:ind w:firstLine="0"/>
              <w:jc w:val="center"/>
            </w:pPr>
            <w:r>
              <w:rPr>
                <w:rFonts w:cs="Calibri"/>
                <w:color w:val="000000"/>
                <w:sz w:val="16"/>
                <w:szCs w:val="16"/>
              </w:rPr>
              <w:t>4</w:t>
            </w:r>
          </w:p>
        </w:tc>
        <w:tc>
          <w:tcPr>
            <w:tcW w:w="609" w:type="dxa"/>
            <w:tcBorders>
              <w:top w:val="single" w:sz="4" w:space="0" w:color="000080"/>
              <w:bottom w:val="single" w:sz="4" w:space="0" w:color="000080"/>
            </w:tcBorders>
            <w:shd w:val="clear" w:color="auto" w:fill="auto"/>
            <w:vAlign w:val="center"/>
          </w:tcPr>
          <w:p w14:paraId="58CF34A6" w14:textId="77777777" w:rsidR="00061155" w:rsidRDefault="00061155">
            <w:pPr>
              <w:spacing w:line="240" w:lineRule="auto"/>
              <w:ind w:firstLine="0"/>
              <w:jc w:val="center"/>
            </w:pPr>
            <w:r>
              <w:rPr>
                <w:rFonts w:cs="Calibri"/>
                <w:color w:val="000000"/>
                <w:sz w:val="16"/>
                <w:szCs w:val="16"/>
              </w:rPr>
              <w:t>20</w:t>
            </w:r>
          </w:p>
        </w:tc>
        <w:tc>
          <w:tcPr>
            <w:tcW w:w="638" w:type="dxa"/>
            <w:tcBorders>
              <w:top w:val="single" w:sz="4" w:space="0" w:color="000080"/>
              <w:bottom w:val="single" w:sz="4" w:space="0" w:color="000080"/>
            </w:tcBorders>
            <w:shd w:val="clear" w:color="auto" w:fill="auto"/>
            <w:vAlign w:val="center"/>
          </w:tcPr>
          <w:p w14:paraId="2023B5D3" w14:textId="77777777" w:rsidR="00061155" w:rsidRDefault="00061155">
            <w:pPr>
              <w:spacing w:line="240" w:lineRule="auto"/>
              <w:ind w:firstLine="0"/>
              <w:jc w:val="center"/>
            </w:pPr>
            <w:r>
              <w:rPr>
                <w:rFonts w:cs="Calibri"/>
                <w:color w:val="000000"/>
                <w:sz w:val="16"/>
                <w:szCs w:val="16"/>
              </w:rPr>
              <w:t>8</w:t>
            </w:r>
          </w:p>
        </w:tc>
        <w:tc>
          <w:tcPr>
            <w:tcW w:w="586" w:type="dxa"/>
            <w:tcBorders>
              <w:top w:val="single" w:sz="4" w:space="0" w:color="000080"/>
              <w:bottom w:val="single" w:sz="4" w:space="0" w:color="000080"/>
            </w:tcBorders>
            <w:shd w:val="clear" w:color="auto" w:fill="auto"/>
            <w:vAlign w:val="center"/>
          </w:tcPr>
          <w:p w14:paraId="15031A40" w14:textId="77777777" w:rsidR="00061155" w:rsidRDefault="00061155">
            <w:pPr>
              <w:spacing w:line="240" w:lineRule="auto"/>
              <w:ind w:firstLine="0"/>
              <w:jc w:val="center"/>
            </w:pPr>
            <w:r>
              <w:rPr>
                <w:rFonts w:cs="Calibri"/>
                <w:color w:val="000000"/>
                <w:sz w:val="16"/>
                <w:szCs w:val="16"/>
              </w:rPr>
              <w:t>11</w:t>
            </w:r>
          </w:p>
        </w:tc>
        <w:tc>
          <w:tcPr>
            <w:tcW w:w="432" w:type="dxa"/>
            <w:tcBorders>
              <w:top w:val="single" w:sz="4" w:space="0" w:color="000080"/>
              <w:bottom w:val="single" w:sz="4" w:space="0" w:color="000080"/>
            </w:tcBorders>
            <w:shd w:val="clear" w:color="auto" w:fill="auto"/>
            <w:vAlign w:val="center"/>
          </w:tcPr>
          <w:p w14:paraId="3312BE60" w14:textId="77777777" w:rsidR="00061155" w:rsidRDefault="00061155">
            <w:pPr>
              <w:spacing w:line="240" w:lineRule="auto"/>
              <w:ind w:firstLine="0"/>
              <w:jc w:val="center"/>
            </w:pPr>
            <w:r>
              <w:rPr>
                <w:rFonts w:cs="Calibri"/>
                <w:color w:val="000000"/>
                <w:sz w:val="16"/>
                <w:szCs w:val="16"/>
              </w:rPr>
              <w:t>4</w:t>
            </w:r>
          </w:p>
        </w:tc>
        <w:tc>
          <w:tcPr>
            <w:tcW w:w="515" w:type="dxa"/>
            <w:tcBorders>
              <w:top w:val="single" w:sz="4" w:space="0" w:color="000080"/>
              <w:bottom w:val="single" w:sz="4" w:space="0" w:color="000080"/>
            </w:tcBorders>
            <w:shd w:val="clear" w:color="auto" w:fill="auto"/>
            <w:vAlign w:val="center"/>
          </w:tcPr>
          <w:p w14:paraId="711E3A65" w14:textId="77777777" w:rsidR="00061155" w:rsidRDefault="00061155">
            <w:pPr>
              <w:spacing w:line="240" w:lineRule="auto"/>
              <w:ind w:firstLine="0"/>
              <w:jc w:val="center"/>
            </w:pPr>
            <w:r>
              <w:rPr>
                <w:rFonts w:cs="Calibri"/>
                <w:color w:val="000000"/>
                <w:sz w:val="16"/>
                <w:szCs w:val="16"/>
              </w:rPr>
              <w:t>47</w:t>
            </w:r>
          </w:p>
        </w:tc>
        <w:tc>
          <w:tcPr>
            <w:tcW w:w="239" w:type="dxa"/>
            <w:tcBorders>
              <w:top w:val="single" w:sz="4" w:space="0" w:color="000080"/>
              <w:bottom w:val="single" w:sz="4" w:space="0" w:color="000080"/>
            </w:tcBorders>
            <w:shd w:val="clear" w:color="auto" w:fill="auto"/>
            <w:vAlign w:val="center"/>
          </w:tcPr>
          <w:p w14:paraId="2FB32682" w14:textId="77777777" w:rsidR="00061155" w:rsidRDefault="00061155">
            <w:pPr>
              <w:snapToGrid w:val="0"/>
              <w:spacing w:line="240" w:lineRule="auto"/>
              <w:ind w:firstLine="0"/>
              <w:jc w:val="center"/>
              <w:rPr>
                <w:rFonts w:cs="Calibri"/>
                <w:color w:val="000000"/>
                <w:sz w:val="16"/>
                <w:szCs w:val="16"/>
              </w:rPr>
            </w:pPr>
          </w:p>
        </w:tc>
        <w:tc>
          <w:tcPr>
            <w:tcW w:w="449" w:type="dxa"/>
            <w:tcBorders>
              <w:top w:val="single" w:sz="4" w:space="0" w:color="000080"/>
              <w:bottom w:val="single" w:sz="4" w:space="0" w:color="000080"/>
            </w:tcBorders>
            <w:shd w:val="clear" w:color="auto" w:fill="auto"/>
            <w:vAlign w:val="center"/>
          </w:tcPr>
          <w:p w14:paraId="06D91FC6" w14:textId="77777777" w:rsidR="00061155" w:rsidRDefault="00061155">
            <w:pPr>
              <w:spacing w:line="240" w:lineRule="auto"/>
              <w:ind w:firstLine="0"/>
              <w:jc w:val="center"/>
            </w:pPr>
            <w:r>
              <w:rPr>
                <w:rFonts w:cs="Calibri"/>
                <w:color w:val="000000"/>
                <w:sz w:val="16"/>
                <w:szCs w:val="16"/>
              </w:rPr>
              <w:t>49</w:t>
            </w:r>
          </w:p>
        </w:tc>
      </w:tr>
    </w:tbl>
    <w:p w14:paraId="0FC96F09" w14:textId="77777777" w:rsidR="00061155" w:rsidRDefault="00061155">
      <w:pPr>
        <w:pStyle w:val="ApaNormale"/>
        <w:spacing w:before="120" w:line="240" w:lineRule="auto"/>
        <w:ind w:firstLine="0"/>
        <w:sectPr w:rsidR="00061155">
          <w:headerReference w:type="even" r:id="rId28"/>
          <w:headerReference w:type="default" r:id="rId29"/>
          <w:headerReference w:type="first" r:id="rId30"/>
          <w:pgSz w:w="16838" w:h="11906" w:orient="landscape"/>
          <w:pgMar w:top="1134" w:right="1134" w:bottom="1134" w:left="1418" w:header="709" w:footer="720" w:gutter="0"/>
          <w:cols w:space="720"/>
          <w:docGrid w:linePitch="360"/>
        </w:sectPr>
      </w:pPr>
      <w:bookmarkStart w:id="34" w:name="_Hlk494208953"/>
      <w:r>
        <w:rPr>
          <w:rFonts w:ascii="Calibri" w:hAnsi="Calibri" w:cs="Calibri"/>
          <w:i/>
          <w:sz w:val="20"/>
          <w:szCs w:val="20"/>
        </w:rPr>
        <w:lastRenderedPageBreak/>
        <w:t xml:space="preserve">Note. </w:t>
      </w:r>
      <w:bookmarkEnd w:id="34"/>
      <w:r>
        <w:rPr>
          <w:rFonts w:ascii="Calibri" w:hAnsi="Calibri" w:cs="Calibri"/>
          <w:sz w:val="20"/>
          <w:szCs w:val="20"/>
        </w:rPr>
        <w:t>IND5+, IMC5+, ORD5+, and RES5+ respectively indicate how frequently a goal was elicited by one of the five adjectives belonging to the positive poles of scales industriousness, impulse-control, orderliness, and responsibility. IND5-, IMC5-, ORD5-, and RES5- indicate the eliciting frequencies the negative poles of the same scales. C2+ and C2- respectively indicate the eliciting frequencies for two additional items of positive conscientiousness (“conscientious” and “scrupulous”) and of negative conscientiousness (“unconscientious” and “distracted”). C22+ and C22- indicate the overall eliciting frequencies for the 22 adjectives of the positive and the negative poles of conscientiousness, respectively. C44 indicates overall eliciting frequency.</w:t>
      </w:r>
    </w:p>
    <w:p w14:paraId="3DB56A03" w14:textId="77777777" w:rsidR="00061155" w:rsidRDefault="00061155">
      <w:pPr>
        <w:pStyle w:val="ApaNormale"/>
        <w:spacing w:after="120" w:line="240" w:lineRule="auto"/>
        <w:ind w:firstLine="0"/>
        <w:jc w:val="both"/>
      </w:pPr>
      <w:r>
        <w:rPr>
          <w:i/>
        </w:rPr>
        <w:lastRenderedPageBreak/>
        <w:t>Table 3. Relative conscientiousness score (RCS), centrality, and abstractness score of each goal class</w:t>
      </w:r>
    </w:p>
    <w:tbl>
      <w:tblPr>
        <w:tblW w:w="0" w:type="auto"/>
        <w:jc w:val="center"/>
        <w:tblLayout w:type="fixed"/>
        <w:tblLook w:val="0000" w:firstRow="0" w:lastRow="0" w:firstColumn="0" w:lastColumn="0" w:noHBand="0" w:noVBand="0"/>
      </w:tblPr>
      <w:tblGrid>
        <w:gridCol w:w="1121"/>
        <w:gridCol w:w="828"/>
        <w:gridCol w:w="1366"/>
      </w:tblGrid>
      <w:tr w:rsidR="00061155" w14:paraId="466653ED"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73B0C257" w14:textId="77777777" w:rsidR="00061155" w:rsidRDefault="00061155">
            <w:pPr>
              <w:spacing w:line="240" w:lineRule="auto"/>
              <w:ind w:firstLine="0"/>
            </w:pPr>
            <w:r>
              <w:rPr>
                <w:rFonts w:cs="Calibri"/>
                <w:color w:val="000000"/>
              </w:rPr>
              <w:t>Goal Class</w:t>
            </w:r>
          </w:p>
        </w:tc>
        <w:tc>
          <w:tcPr>
            <w:tcW w:w="828" w:type="dxa"/>
            <w:tcBorders>
              <w:top w:val="single" w:sz="4" w:space="0" w:color="00000A"/>
              <w:left w:val="none" w:sz="0" w:space="0" w:color="000000"/>
              <w:bottom w:val="single" w:sz="4" w:space="0" w:color="00000A"/>
            </w:tcBorders>
            <w:shd w:val="clear" w:color="auto" w:fill="auto"/>
            <w:vAlign w:val="center"/>
          </w:tcPr>
          <w:p w14:paraId="5F1C67DC" w14:textId="77777777" w:rsidR="00061155" w:rsidRDefault="00061155">
            <w:pPr>
              <w:spacing w:line="240" w:lineRule="auto"/>
              <w:ind w:firstLine="0"/>
            </w:pPr>
            <w:r>
              <w:rPr>
                <w:rFonts w:cs="Calibri"/>
                <w:color w:val="000000"/>
              </w:rPr>
              <w:t>RCS</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5FC93E42" w14:textId="77777777" w:rsidR="00061155" w:rsidRDefault="00061155">
            <w:pPr>
              <w:spacing w:line="240" w:lineRule="auto"/>
              <w:ind w:firstLine="0"/>
            </w:pPr>
            <w:r>
              <w:rPr>
                <w:rFonts w:cs="Calibri"/>
                <w:color w:val="000000"/>
              </w:rPr>
              <w:t>Abstractness</w:t>
            </w:r>
          </w:p>
        </w:tc>
      </w:tr>
      <w:tr w:rsidR="00061155" w14:paraId="4ACFA3A9"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5EAE7ECA" w14:textId="77777777" w:rsidR="00061155" w:rsidRDefault="00061155">
            <w:pPr>
              <w:spacing w:line="240" w:lineRule="auto"/>
              <w:ind w:firstLine="0"/>
            </w:pPr>
            <w:r>
              <w:rPr>
                <w:rFonts w:cs="Calibri"/>
                <w:color w:val="000000"/>
              </w:rPr>
              <w:t>1</w:t>
            </w:r>
          </w:p>
        </w:tc>
        <w:tc>
          <w:tcPr>
            <w:tcW w:w="828" w:type="dxa"/>
            <w:tcBorders>
              <w:top w:val="single" w:sz="4" w:space="0" w:color="00000A"/>
              <w:left w:val="none" w:sz="0" w:space="0" w:color="000000"/>
              <w:bottom w:val="single" w:sz="4" w:space="0" w:color="00000A"/>
            </w:tcBorders>
            <w:shd w:val="clear" w:color="auto" w:fill="auto"/>
            <w:vAlign w:val="center"/>
          </w:tcPr>
          <w:p w14:paraId="67430776" w14:textId="77777777" w:rsidR="00061155" w:rsidRDefault="00061155">
            <w:pPr>
              <w:spacing w:line="240" w:lineRule="auto"/>
              <w:ind w:firstLine="0"/>
            </w:pPr>
            <w:r>
              <w:t>4.35*</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11823248" w14:textId="77777777" w:rsidR="00061155" w:rsidRDefault="00061155">
            <w:pPr>
              <w:spacing w:line="240" w:lineRule="auto"/>
              <w:ind w:firstLine="0"/>
            </w:pPr>
            <w:r>
              <w:rPr>
                <w:rFonts w:cs="Calibri"/>
                <w:color w:val="000000"/>
              </w:rPr>
              <w:t>.42</w:t>
            </w:r>
          </w:p>
        </w:tc>
      </w:tr>
      <w:tr w:rsidR="00061155" w14:paraId="5641C166"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1AC66A61" w14:textId="77777777" w:rsidR="00061155" w:rsidRDefault="00061155">
            <w:pPr>
              <w:spacing w:line="240" w:lineRule="auto"/>
              <w:ind w:firstLine="0"/>
            </w:pPr>
            <w:r>
              <w:rPr>
                <w:rFonts w:cs="Calibri"/>
                <w:color w:val="000000"/>
              </w:rPr>
              <w:t>2</w:t>
            </w:r>
          </w:p>
        </w:tc>
        <w:tc>
          <w:tcPr>
            <w:tcW w:w="828" w:type="dxa"/>
            <w:tcBorders>
              <w:top w:val="single" w:sz="4" w:space="0" w:color="00000A"/>
              <w:left w:val="none" w:sz="0" w:space="0" w:color="000000"/>
              <w:bottom w:val="single" w:sz="4" w:space="0" w:color="00000A"/>
            </w:tcBorders>
            <w:shd w:val="clear" w:color="auto" w:fill="auto"/>
            <w:vAlign w:val="center"/>
          </w:tcPr>
          <w:p w14:paraId="48EBD8DD" w14:textId="77777777" w:rsidR="00061155" w:rsidRDefault="00061155">
            <w:pPr>
              <w:spacing w:line="240" w:lineRule="auto"/>
              <w:ind w:firstLine="0"/>
            </w:pPr>
            <w:r>
              <w:t>7.66*</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1AEB7705" w14:textId="77777777" w:rsidR="00061155" w:rsidRDefault="00061155">
            <w:pPr>
              <w:spacing w:line="240" w:lineRule="auto"/>
              <w:ind w:firstLine="0"/>
            </w:pPr>
            <w:r>
              <w:rPr>
                <w:rFonts w:cs="Calibri"/>
                <w:color w:val="000000"/>
              </w:rPr>
              <w:t>.27</w:t>
            </w:r>
          </w:p>
        </w:tc>
      </w:tr>
      <w:tr w:rsidR="00061155" w14:paraId="0A2A4E07"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33A543F1" w14:textId="77777777" w:rsidR="00061155" w:rsidRDefault="00061155">
            <w:pPr>
              <w:spacing w:line="240" w:lineRule="auto"/>
              <w:ind w:firstLine="0"/>
            </w:pPr>
            <w:r>
              <w:rPr>
                <w:rFonts w:cs="Calibri"/>
                <w:color w:val="000000"/>
              </w:rPr>
              <w:t>3</w:t>
            </w:r>
          </w:p>
        </w:tc>
        <w:tc>
          <w:tcPr>
            <w:tcW w:w="828" w:type="dxa"/>
            <w:tcBorders>
              <w:top w:val="single" w:sz="4" w:space="0" w:color="00000A"/>
              <w:left w:val="none" w:sz="0" w:space="0" w:color="000000"/>
              <w:bottom w:val="single" w:sz="4" w:space="0" w:color="00000A"/>
            </w:tcBorders>
            <w:shd w:val="clear" w:color="auto" w:fill="auto"/>
            <w:vAlign w:val="center"/>
          </w:tcPr>
          <w:p w14:paraId="662C3EE1" w14:textId="77777777" w:rsidR="00061155" w:rsidRDefault="00061155">
            <w:pPr>
              <w:spacing w:line="240" w:lineRule="auto"/>
              <w:ind w:firstLine="0"/>
            </w:pPr>
            <w:r>
              <w:t>2.25</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4A751EC5" w14:textId="77777777" w:rsidR="00061155" w:rsidRDefault="00061155">
            <w:pPr>
              <w:spacing w:line="240" w:lineRule="auto"/>
              <w:ind w:firstLine="0"/>
            </w:pPr>
            <w:r>
              <w:rPr>
                <w:rFonts w:cs="Calibri"/>
                <w:color w:val="000000"/>
              </w:rPr>
              <w:t>.98</w:t>
            </w:r>
          </w:p>
        </w:tc>
      </w:tr>
      <w:tr w:rsidR="00061155" w14:paraId="0A04900B"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14000995" w14:textId="77777777" w:rsidR="00061155" w:rsidRDefault="00061155">
            <w:pPr>
              <w:spacing w:line="240" w:lineRule="auto"/>
              <w:ind w:firstLine="0"/>
            </w:pPr>
            <w:r>
              <w:rPr>
                <w:rFonts w:cs="Calibri"/>
                <w:color w:val="000000"/>
              </w:rPr>
              <w:t>4</w:t>
            </w:r>
          </w:p>
        </w:tc>
        <w:tc>
          <w:tcPr>
            <w:tcW w:w="828" w:type="dxa"/>
            <w:tcBorders>
              <w:top w:val="single" w:sz="4" w:space="0" w:color="00000A"/>
              <w:left w:val="none" w:sz="0" w:space="0" w:color="000000"/>
              <w:bottom w:val="single" w:sz="4" w:space="0" w:color="00000A"/>
            </w:tcBorders>
            <w:shd w:val="clear" w:color="auto" w:fill="auto"/>
            <w:vAlign w:val="center"/>
          </w:tcPr>
          <w:p w14:paraId="607C64F4" w14:textId="77777777" w:rsidR="00061155" w:rsidRDefault="00061155">
            <w:pPr>
              <w:spacing w:line="240" w:lineRule="auto"/>
              <w:ind w:firstLine="0"/>
            </w:pPr>
            <w:r>
              <w:t>-5.99</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1F39DDF4" w14:textId="77777777" w:rsidR="00061155" w:rsidRDefault="00061155">
            <w:pPr>
              <w:spacing w:line="240" w:lineRule="auto"/>
              <w:ind w:firstLine="0"/>
            </w:pPr>
            <w:r>
              <w:rPr>
                <w:rFonts w:cs="Calibri"/>
                <w:color w:val="000000"/>
              </w:rPr>
              <w:t>.54</w:t>
            </w:r>
          </w:p>
        </w:tc>
      </w:tr>
      <w:tr w:rsidR="00061155" w14:paraId="28136595"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6C16A486" w14:textId="77777777" w:rsidR="00061155" w:rsidRDefault="00061155">
            <w:pPr>
              <w:spacing w:line="240" w:lineRule="auto"/>
              <w:ind w:firstLine="0"/>
            </w:pPr>
            <w:r>
              <w:rPr>
                <w:rFonts w:cs="Calibri"/>
                <w:color w:val="000000"/>
              </w:rPr>
              <w:t>5</w:t>
            </w:r>
          </w:p>
        </w:tc>
        <w:tc>
          <w:tcPr>
            <w:tcW w:w="828" w:type="dxa"/>
            <w:tcBorders>
              <w:top w:val="single" w:sz="4" w:space="0" w:color="00000A"/>
              <w:left w:val="none" w:sz="0" w:space="0" w:color="000000"/>
              <w:bottom w:val="single" w:sz="4" w:space="0" w:color="00000A"/>
            </w:tcBorders>
            <w:shd w:val="clear" w:color="auto" w:fill="auto"/>
            <w:vAlign w:val="center"/>
          </w:tcPr>
          <w:p w14:paraId="3BB2A12A" w14:textId="77777777" w:rsidR="00061155" w:rsidRDefault="00061155">
            <w:pPr>
              <w:spacing w:line="240" w:lineRule="auto"/>
              <w:ind w:firstLine="0"/>
            </w:pPr>
            <w:r>
              <w:t>4.82*</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4EDDA518" w14:textId="77777777" w:rsidR="00061155" w:rsidRDefault="00061155">
            <w:pPr>
              <w:spacing w:line="240" w:lineRule="auto"/>
              <w:ind w:firstLine="0"/>
            </w:pPr>
            <w:r>
              <w:rPr>
                <w:rFonts w:cs="Calibri"/>
                <w:color w:val="000000"/>
              </w:rPr>
              <w:t>.61</w:t>
            </w:r>
          </w:p>
        </w:tc>
      </w:tr>
      <w:tr w:rsidR="00061155" w14:paraId="798DD667"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0B2CD322" w14:textId="77777777" w:rsidR="00061155" w:rsidRDefault="00061155">
            <w:pPr>
              <w:spacing w:line="240" w:lineRule="auto"/>
              <w:ind w:firstLine="0"/>
            </w:pPr>
            <w:r>
              <w:rPr>
                <w:rFonts w:cs="Calibri"/>
                <w:color w:val="000000"/>
              </w:rPr>
              <w:t>6</w:t>
            </w:r>
          </w:p>
        </w:tc>
        <w:tc>
          <w:tcPr>
            <w:tcW w:w="828" w:type="dxa"/>
            <w:tcBorders>
              <w:top w:val="single" w:sz="4" w:space="0" w:color="00000A"/>
              <w:left w:val="none" w:sz="0" w:space="0" w:color="000000"/>
              <w:bottom w:val="single" w:sz="4" w:space="0" w:color="00000A"/>
            </w:tcBorders>
            <w:shd w:val="clear" w:color="auto" w:fill="auto"/>
            <w:vAlign w:val="center"/>
          </w:tcPr>
          <w:p w14:paraId="51AC7633" w14:textId="77777777" w:rsidR="00061155" w:rsidRDefault="00061155">
            <w:pPr>
              <w:spacing w:line="240" w:lineRule="auto"/>
              <w:ind w:firstLine="0"/>
            </w:pPr>
            <w:r>
              <w:t>-6.47</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603F5ADE" w14:textId="77777777" w:rsidR="00061155" w:rsidRDefault="00061155">
            <w:pPr>
              <w:spacing w:line="240" w:lineRule="auto"/>
              <w:ind w:firstLine="0"/>
            </w:pPr>
            <w:r>
              <w:rPr>
                <w:rFonts w:cs="Calibri"/>
                <w:color w:val="000000"/>
              </w:rPr>
              <w:t>.11</w:t>
            </w:r>
          </w:p>
        </w:tc>
      </w:tr>
      <w:tr w:rsidR="00061155" w14:paraId="6C06AFCA"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516732DD" w14:textId="77777777" w:rsidR="00061155" w:rsidRDefault="00061155">
            <w:pPr>
              <w:spacing w:line="240" w:lineRule="auto"/>
              <w:ind w:firstLine="0"/>
            </w:pPr>
            <w:r>
              <w:rPr>
                <w:rFonts w:cs="Calibri"/>
                <w:color w:val="000000"/>
              </w:rPr>
              <w:t>7</w:t>
            </w:r>
          </w:p>
        </w:tc>
        <w:tc>
          <w:tcPr>
            <w:tcW w:w="828" w:type="dxa"/>
            <w:tcBorders>
              <w:top w:val="single" w:sz="4" w:space="0" w:color="00000A"/>
              <w:left w:val="none" w:sz="0" w:space="0" w:color="000000"/>
              <w:bottom w:val="single" w:sz="4" w:space="0" w:color="00000A"/>
            </w:tcBorders>
            <w:shd w:val="clear" w:color="auto" w:fill="auto"/>
            <w:vAlign w:val="center"/>
          </w:tcPr>
          <w:p w14:paraId="7F173574" w14:textId="77777777" w:rsidR="00061155" w:rsidRDefault="00061155">
            <w:pPr>
              <w:spacing w:line="240" w:lineRule="auto"/>
              <w:ind w:firstLine="0"/>
            </w:pPr>
            <w:r>
              <w:t>-6.58</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386A95EE" w14:textId="77777777" w:rsidR="00061155" w:rsidRDefault="00061155">
            <w:pPr>
              <w:spacing w:line="240" w:lineRule="auto"/>
              <w:ind w:firstLine="0"/>
            </w:pPr>
            <w:r>
              <w:rPr>
                <w:rFonts w:cs="Calibri"/>
                <w:color w:val="000000"/>
              </w:rPr>
              <w:t>.30</w:t>
            </w:r>
          </w:p>
        </w:tc>
      </w:tr>
      <w:tr w:rsidR="00061155" w14:paraId="02E5D902"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5792BA8A" w14:textId="77777777" w:rsidR="00061155" w:rsidRDefault="00061155">
            <w:pPr>
              <w:spacing w:line="240" w:lineRule="auto"/>
              <w:ind w:firstLine="0"/>
            </w:pPr>
            <w:r>
              <w:rPr>
                <w:rFonts w:cs="Calibri"/>
                <w:color w:val="000000"/>
              </w:rPr>
              <w:t>8</w:t>
            </w:r>
          </w:p>
        </w:tc>
        <w:tc>
          <w:tcPr>
            <w:tcW w:w="828" w:type="dxa"/>
            <w:tcBorders>
              <w:top w:val="single" w:sz="4" w:space="0" w:color="00000A"/>
              <w:left w:val="none" w:sz="0" w:space="0" w:color="000000"/>
              <w:bottom w:val="single" w:sz="4" w:space="0" w:color="00000A"/>
            </w:tcBorders>
            <w:shd w:val="clear" w:color="auto" w:fill="auto"/>
            <w:vAlign w:val="center"/>
          </w:tcPr>
          <w:p w14:paraId="330B182D" w14:textId="77777777" w:rsidR="00061155" w:rsidRDefault="00061155">
            <w:pPr>
              <w:spacing w:line="240" w:lineRule="auto"/>
              <w:ind w:firstLine="0"/>
            </w:pPr>
            <w:r>
              <w:t>4.56*</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4BAB3A3B" w14:textId="77777777" w:rsidR="00061155" w:rsidRDefault="00061155">
            <w:pPr>
              <w:spacing w:line="240" w:lineRule="auto"/>
              <w:ind w:firstLine="0"/>
            </w:pPr>
            <w:r>
              <w:rPr>
                <w:rFonts w:cs="Calibri"/>
                <w:color w:val="000000"/>
              </w:rPr>
              <w:t>.00</w:t>
            </w:r>
          </w:p>
        </w:tc>
      </w:tr>
      <w:tr w:rsidR="00061155" w14:paraId="10E05628"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46C2C099" w14:textId="77777777" w:rsidR="00061155" w:rsidRDefault="00061155">
            <w:pPr>
              <w:spacing w:line="240" w:lineRule="auto"/>
              <w:ind w:firstLine="0"/>
            </w:pPr>
            <w:r>
              <w:rPr>
                <w:rFonts w:cs="Calibri"/>
                <w:color w:val="000000"/>
              </w:rPr>
              <w:t>9</w:t>
            </w:r>
          </w:p>
        </w:tc>
        <w:tc>
          <w:tcPr>
            <w:tcW w:w="828" w:type="dxa"/>
            <w:tcBorders>
              <w:top w:val="single" w:sz="4" w:space="0" w:color="00000A"/>
              <w:left w:val="none" w:sz="0" w:space="0" w:color="000000"/>
              <w:bottom w:val="single" w:sz="4" w:space="0" w:color="00000A"/>
            </w:tcBorders>
            <w:shd w:val="clear" w:color="auto" w:fill="auto"/>
            <w:vAlign w:val="center"/>
          </w:tcPr>
          <w:p w14:paraId="38638121" w14:textId="77777777" w:rsidR="00061155" w:rsidRDefault="00061155">
            <w:pPr>
              <w:spacing w:line="240" w:lineRule="auto"/>
              <w:ind w:firstLine="0"/>
            </w:pPr>
            <w:r>
              <w:t>-5.67</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5C5DADC5" w14:textId="77777777" w:rsidR="00061155" w:rsidRDefault="00061155">
            <w:pPr>
              <w:spacing w:line="240" w:lineRule="auto"/>
              <w:ind w:firstLine="0"/>
            </w:pPr>
            <w:r>
              <w:rPr>
                <w:rFonts w:cs="Calibri"/>
                <w:color w:val="000000"/>
              </w:rPr>
              <w:t>.18</w:t>
            </w:r>
          </w:p>
        </w:tc>
      </w:tr>
      <w:tr w:rsidR="00061155" w14:paraId="66823118"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0955EC1D" w14:textId="77777777" w:rsidR="00061155" w:rsidRDefault="00061155">
            <w:pPr>
              <w:spacing w:line="240" w:lineRule="auto"/>
              <w:ind w:firstLine="0"/>
            </w:pPr>
            <w:r>
              <w:rPr>
                <w:rFonts w:cs="Calibri"/>
                <w:color w:val="000000"/>
              </w:rPr>
              <w:t>10</w:t>
            </w:r>
          </w:p>
        </w:tc>
        <w:tc>
          <w:tcPr>
            <w:tcW w:w="828" w:type="dxa"/>
            <w:tcBorders>
              <w:top w:val="single" w:sz="4" w:space="0" w:color="00000A"/>
              <w:left w:val="none" w:sz="0" w:space="0" w:color="000000"/>
              <w:bottom w:val="single" w:sz="4" w:space="0" w:color="00000A"/>
            </w:tcBorders>
            <w:shd w:val="clear" w:color="auto" w:fill="auto"/>
            <w:vAlign w:val="center"/>
          </w:tcPr>
          <w:p w14:paraId="404FD520" w14:textId="77777777" w:rsidR="00061155" w:rsidRDefault="00061155">
            <w:pPr>
              <w:spacing w:line="240" w:lineRule="auto"/>
              <w:ind w:firstLine="0"/>
            </w:pPr>
            <w:r>
              <w:t>5.94*</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51AFF621" w14:textId="77777777" w:rsidR="00061155" w:rsidRDefault="00061155">
            <w:pPr>
              <w:spacing w:line="240" w:lineRule="auto"/>
              <w:ind w:firstLine="0"/>
            </w:pPr>
            <w:r>
              <w:rPr>
                <w:rFonts w:cs="Calibri"/>
                <w:color w:val="000000"/>
              </w:rPr>
              <w:t>.42</w:t>
            </w:r>
          </w:p>
        </w:tc>
      </w:tr>
      <w:tr w:rsidR="00061155" w14:paraId="36DE5B92"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2BA24F25" w14:textId="77777777" w:rsidR="00061155" w:rsidRDefault="00061155">
            <w:pPr>
              <w:spacing w:line="240" w:lineRule="auto"/>
              <w:ind w:firstLine="0"/>
            </w:pPr>
            <w:r>
              <w:rPr>
                <w:rFonts w:cs="Calibri"/>
                <w:color w:val="000000"/>
              </w:rPr>
              <w:t>11</w:t>
            </w:r>
          </w:p>
        </w:tc>
        <w:tc>
          <w:tcPr>
            <w:tcW w:w="828" w:type="dxa"/>
            <w:tcBorders>
              <w:top w:val="single" w:sz="4" w:space="0" w:color="00000A"/>
              <w:left w:val="none" w:sz="0" w:space="0" w:color="000000"/>
              <w:bottom w:val="single" w:sz="4" w:space="0" w:color="00000A"/>
            </w:tcBorders>
            <w:shd w:val="clear" w:color="auto" w:fill="auto"/>
            <w:vAlign w:val="center"/>
          </w:tcPr>
          <w:p w14:paraId="0CC307BA" w14:textId="77777777" w:rsidR="00061155" w:rsidRDefault="00061155">
            <w:pPr>
              <w:spacing w:line="240" w:lineRule="auto"/>
              <w:ind w:firstLine="0"/>
            </w:pPr>
            <w:r>
              <w:t>11.94*</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310C1069" w14:textId="77777777" w:rsidR="00061155" w:rsidRDefault="00061155">
            <w:pPr>
              <w:spacing w:line="240" w:lineRule="auto"/>
              <w:ind w:firstLine="0"/>
            </w:pPr>
            <w:r>
              <w:rPr>
                <w:rFonts w:cs="Calibri"/>
                <w:color w:val="000000"/>
              </w:rPr>
              <w:t>.42</w:t>
            </w:r>
          </w:p>
        </w:tc>
      </w:tr>
      <w:tr w:rsidR="00061155" w14:paraId="2B190525"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0B6BB833" w14:textId="77777777" w:rsidR="00061155" w:rsidRDefault="00061155">
            <w:pPr>
              <w:spacing w:line="240" w:lineRule="auto"/>
              <w:ind w:firstLine="0"/>
            </w:pPr>
            <w:r>
              <w:rPr>
                <w:rFonts w:cs="Calibri"/>
                <w:color w:val="000000"/>
              </w:rPr>
              <w:t>12</w:t>
            </w:r>
          </w:p>
        </w:tc>
        <w:tc>
          <w:tcPr>
            <w:tcW w:w="828" w:type="dxa"/>
            <w:tcBorders>
              <w:top w:val="single" w:sz="4" w:space="0" w:color="00000A"/>
              <w:left w:val="none" w:sz="0" w:space="0" w:color="000000"/>
              <w:bottom w:val="single" w:sz="4" w:space="0" w:color="00000A"/>
            </w:tcBorders>
            <w:shd w:val="clear" w:color="auto" w:fill="auto"/>
            <w:vAlign w:val="center"/>
          </w:tcPr>
          <w:p w14:paraId="3E862CEE" w14:textId="77777777" w:rsidR="00061155" w:rsidRDefault="00061155">
            <w:pPr>
              <w:spacing w:line="240" w:lineRule="auto"/>
              <w:ind w:firstLine="0"/>
            </w:pPr>
            <w:r>
              <w:t>9.62*</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3C768D57" w14:textId="77777777" w:rsidR="00061155" w:rsidRDefault="00061155">
            <w:pPr>
              <w:spacing w:line="240" w:lineRule="auto"/>
              <w:ind w:firstLine="0"/>
            </w:pPr>
            <w:r>
              <w:rPr>
                <w:rFonts w:cs="Calibri"/>
                <w:color w:val="000000"/>
              </w:rPr>
              <w:t>.34</w:t>
            </w:r>
          </w:p>
        </w:tc>
      </w:tr>
      <w:tr w:rsidR="00061155" w14:paraId="542681C0"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79E71B4E" w14:textId="77777777" w:rsidR="00061155" w:rsidRDefault="00061155">
            <w:pPr>
              <w:spacing w:line="240" w:lineRule="auto"/>
              <w:ind w:firstLine="0"/>
            </w:pPr>
            <w:r>
              <w:rPr>
                <w:rFonts w:cs="Calibri"/>
                <w:color w:val="000000"/>
              </w:rPr>
              <w:t>13</w:t>
            </w:r>
          </w:p>
        </w:tc>
        <w:tc>
          <w:tcPr>
            <w:tcW w:w="828" w:type="dxa"/>
            <w:tcBorders>
              <w:top w:val="single" w:sz="4" w:space="0" w:color="00000A"/>
              <w:left w:val="none" w:sz="0" w:space="0" w:color="000000"/>
              <w:bottom w:val="single" w:sz="4" w:space="0" w:color="00000A"/>
            </w:tcBorders>
            <w:shd w:val="clear" w:color="auto" w:fill="auto"/>
            <w:vAlign w:val="center"/>
          </w:tcPr>
          <w:p w14:paraId="320F6863" w14:textId="77777777" w:rsidR="00061155" w:rsidRDefault="00061155">
            <w:pPr>
              <w:spacing w:line="240" w:lineRule="auto"/>
              <w:ind w:firstLine="0"/>
            </w:pPr>
            <w:r>
              <w:t>3.70*</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14246AEB" w14:textId="77777777" w:rsidR="00061155" w:rsidRDefault="00061155">
            <w:pPr>
              <w:spacing w:line="240" w:lineRule="auto"/>
              <w:ind w:firstLine="0"/>
            </w:pPr>
            <w:r>
              <w:rPr>
                <w:rFonts w:cs="Calibri"/>
                <w:color w:val="000000"/>
              </w:rPr>
              <w:t>.29</w:t>
            </w:r>
          </w:p>
        </w:tc>
      </w:tr>
      <w:tr w:rsidR="00061155" w14:paraId="626932CE"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644C8E6C" w14:textId="77777777" w:rsidR="00061155" w:rsidRDefault="00061155">
            <w:pPr>
              <w:spacing w:line="240" w:lineRule="auto"/>
              <w:ind w:firstLine="0"/>
            </w:pPr>
            <w:r>
              <w:rPr>
                <w:rFonts w:cs="Calibri"/>
                <w:color w:val="000000"/>
              </w:rPr>
              <w:t>14</w:t>
            </w:r>
          </w:p>
        </w:tc>
        <w:tc>
          <w:tcPr>
            <w:tcW w:w="828" w:type="dxa"/>
            <w:tcBorders>
              <w:top w:val="single" w:sz="4" w:space="0" w:color="00000A"/>
              <w:left w:val="none" w:sz="0" w:space="0" w:color="000000"/>
              <w:bottom w:val="single" w:sz="4" w:space="0" w:color="00000A"/>
            </w:tcBorders>
            <w:shd w:val="clear" w:color="auto" w:fill="auto"/>
            <w:vAlign w:val="center"/>
          </w:tcPr>
          <w:p w14:paraId="68009FBF" w14:textId="77777777" w:rsidR="00061155" w:rsidRDefault="00061155">
            <w:pPr>
              <w:spacing w:line="240" w:lineRule="auto"/>
              <w:ind w:firstLine="0"/>
            </w:pPr>
            <w:r>
              <w:t>1.33</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7AFD4C68" w14:textId="77777777" w:rsidR="00061155" w:rsidRDefault="00061155">
            <w:pPr>
              <w:spacing w:line="240" w:lineRule="auto"/>
              <w:ind w:firstLine="0"/>
            </w:pPr>
            <w:r>
              <w:rPr>
                <w:rFonts w:cs="Calibri"/>
                <w:color w:val="000000"/>
              </w:rPr>
              <w:t>.56</w:t>
            </w:r>
          </w:p>
        </w:tc>
      </w:tr>
      <w:tr w:rsidR="00061155" w14:paraId="785A22A3"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78CF00F1" w14:textId="77777777" w:rsidR="00061155" w:rsidRDefault="00061155">
            <w:pPr>
              <w:spacing w:line="240" w:lineRule="auto"/>
              <w:ind w:firstLine="0"/>
            </w:pPr>
            <w:r>
              <w:rPr>
                <w:rFonts w:cs="Calibri"/>
                <w:color w:val="000000"/>
              </w:rPr>
              <w:t>15</w:t>
            </w:r>
          </w:p>
        </w:tc>
        <w:tc>
          <w:tcPr>
            <w:tcW w:w="828" w:type="dxa"/>
            <w:tcBorders>
              <w:top w:val="single" w:sz="4" w:space="0" w:color="00000A"/>
              <w:left w:val="none" w:sz="0" w:space="0" w:color="000000"/>
              <w:bottom w:val="single" w:sz="4" w:space="0" w:color="00000A"/>
            </w:tcBorders>
            <w:shd w:val="clear" w:color="auto" w:fill="auto"/>
            <w:vAlign w:val="center"/>
          </w:tcPr>
          <w:p w14:paraId="38642446" w14:textId="77777777" w:rsidR="00061155" w:rsidRDefault="00061155">
            <w:pPr>
              <w:spacing w:line="240" w:lineRule="auto"/>
              <w:ind w:firstLine="0"/>
            </w:pPr>
            <w:r>
              <w:t>-4.22</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74D05BAE" w14:textId="77777777" w:rsidR="00061155" w:rsidRDefault="00061155">
            <w:pPr>
              <w:spacing w:line="240" w:lineRule="auto"/>
              <w:ind w:firstLine="0"/>
            </w:pPr>
            <w:r>
              <w:rPr>
                <w:rFonts w:cs="Calibri"/>
                <w:color w:val="000000"/>
              </w:rPr>
              <w:t>.44</w:t>
            </w:r>
          </w:p>
        </w:tc>
      </w:tr>
      <w:tr w:rsidR="00061155" w14:paraId="20C49DA4"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34EFADF1" w14:textId="77777777" w:rsidR="00061155" w:rsidRDefault="00061155">
            <w:pPr>
              <w:spacing w:line="240" w:lineRule="auto"/>
              <w:ind w:firstLine="0"/>
            </w:pPr>
            <w:r>
              <w:rPr>
                <w:rFonts w:cs="Calibri"/>
                <w:color w:val="000000"/>
              </w:rPr>
              <w:t>16</w:t>
            </w:r>
          </w:p>
        </w:tc>
        <w:tc>
          <w:tcPr>
            <w:tcW w:w="828" w:type="dxa"/>
            <w:tcBorders>
              <w:top w:val="single" w:sz="4" w:space="0" w:color="00000A"/>
              <w:left w:val="none" w:sz="0" w:space="0" w:color="000000"/>
              <w:bottom w:val="single" w:sz="4" w:space="0" w:color="00000A"/>
            </w:tcBorders>
            <w:shd w:val="clear" w:color="auto" w:fill="auto"/>
            <w:vAlign w:val="center"/>
          </w:tcPr>
          <w:p w14:paraId="69F0D196" w14:textId="77777777" w:rsidR="00061155" w:rsidRDefault="00061155">
            <w:pPr>
              <w:spacing w:line="240" w:lineRule="auto"/>
              <w:ind w:firstLine="0"/>
            </w:pPr>
            <w:r>
              <w:t>-13.46</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56A55BEE" w14:textId="77777777" w:rsidR="00061155" w:rsidRDefault="00061155">
            <w:pPr>
              <w:spacing w:line="240" w:lineRule="auto"/>
              <w:ind w:firstLine="0"/>
            </w:pPr>
            <w:r>
              <w:rPr>
                <w:rFonts w:cs="Calibri"/>
                <w:color w:val="000000"/>
              </w:rPr>
              <w:t>.40</w:t>
            </w:r>
          </w:p>
        </w:tc>
      </w:tr>
      <w:tr w:rsidR="00061155" w14:paraId="52E8A47B"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31E070CC" w14:textId="77777777" w:rsidR="00061155" w:rsidRDefault="00061155">
            <w:pPr>
              <w:spacing w:line="240" w:lineRule="auto"/>
              <w:ind w:firstLine="0"/>
            </w:pPr>
            <w:r>
              <w:rPr>
                <w:rFonts w:cs="Calibri"/>
                <w:color w:val="000000"/>
              </w:rPr>
              <w:t>17</w:t>
            </w:r>
          </w:p>
        </w:tc>
        <w:tc>
          <w:tcPr>
            <w:tcW w:w="828" w:type="dxa"/>
            <w:tcBorders>
              <w:top w:val="single" w:sz="4" w:space="0" w:color="00000A"/>
              <w:left w:val="none" w:sz="0" w:space="0" w:color="000000"/>
              <w:bottom w:val="single" w:sz="4" w:space="0" w:color="00000A"/>
            </w:tcBorders>
            <w:shd w:val="clear" w:color="auto" w:fill="auto"/>
            <w:vAlign w:val="center"/>
          </w:tcPr>
          <w:p w14:paraId="0A54223F" w14:textId="77777777" w:rsidR="00061155" w:rsidRDefault="00061155">
            <w:pPr>
              <w:spacing w:line="240" w:lineRule="auto"/>
              <w:ind w:firstLine="0"/>
            </w:pPr>
            <w:r>
              <w:t>7.24*</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58B28016" w14:textId="77777777" w:rsidR="00061155" w:rsidRDefault="00061155">
            <w:pPr>
              <w:spacing w:line="240" w:lineRule="auto"/>
              <w:ind w:firstLine="0"/>
            </w:pPr>
            <w:r>
              <w:rPr>
                <w:rFonts w:cs="Calibri"/>
                <w:color w:val="000000"/>
              </w:rPr>
              <w:t>.39</w:t>
            </w:r>
          </w:p>
        </w:tc>
      </w:tr>
      <w:tr w:rsidR="00061155" w14:paraId="10CD3FF4"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41FAF061" w14:textId="77777777" w:rsidR="00061155" w:rsidRDefault="00061155">
            <w:pPr>
              <w:spacing w:line="240" w:lineRule="auto"/>
              <w:ind w:firstLine="0"/>
            </w:pPr>
            <w:r>
              <w:rPr>
                <w:rFonts w:cs="Calibri"/>
                <w:color w:val="000000"/>
              </w:rPr>
              <w:t>18</w:t>
            </w:r>
          </w:p>
        </w:tc>
        <w:tc>
          <w:tcPr>
            <w:tcW w:w="828" w:type="dxa"/>
            <w:tcBorders>
              <w:top w:val="single" w:sz="4" w:space="0" w:color="00000A"/>
              <w:left w:val="none" w:sz="0" w:space="0" w:color="000000"/>
              <w:bottom w:val="single" w:sz="4" w:space="0" w:color="00000A"/>
            </w:tcBorders>
            <w:shd w:val="clear" w:color="auto" w:fill="auto"/>
            <w:vAlign w:val="center"/>
          </w:tcPr>
          <w:p w14:paraId="52E49014" w14:textId="77777777" w:rsidR="00061155" w:rsidRDefault="00061155">
            <w:pPr>
              <w:spacing w:line="240" w:lineRule="auto"/>
              <w:ind w:firstLine="0"/>
            </w:pPr>
            <w:r>
              <w:t>1.01</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25783D1D" w14:textId="77777777" w:rsidR="00061155" w:rsidRDefault="00061155">
            <w:pPr>
              <w:spacing w:line="240" w:lineRule="auto"/>
              <w:ind w:firstLine="0"/>
            </w:pPr>
            <w:r>
              <w:rPr>
                <w:rFonts w:cs="Calibri"/>
                <w:color w:val="000000"/>
              </w:rPr>
              <w:t>.50</w:t>
            </w:r>
          </w:p>
        </w:tc>
      </w:tr>
      <w:tr w:rsidR="00061155" w14:paraId="19CB9F06"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2D1B32E2" w14:textId="77777777" w:rsidR="00061155" w:rsidRDefault="00061155">
            <w:pPr>
              <w:spacing w:line="240" w:lineRule="auto"/>
              <w:ind w:firstLine="0"/>
            </w:pPr>
            <w:r>
              <w:rPr>
                <w:rFonts w:cs="Calibri"/>
                <w:color w:val="000000"/>
              </w:rPr>
              <w:t>19</w:t>
            </w:r>
          </w:p>
        </w:tc>
        <w:tc>
          <w:tcPr>
            <w:tcW w:w="828" w:type="dxa"/>
            <w:tcBorders>
              <w:top w:val="single" w:sz="4" w:space="0" w:color="00000A"/>
              <w:left w:val="none" w:sz="0" w:space="0" w:color="000000"/>
              <w:bottom w:val="single" w:sz="4" w:space="0" w:color="00000A"/>
            </w:tcBorders>
            <w:shd w:val="clear" w:color="auto" w:fill="auto"/>
            <w:vAlign w:val="center"/>
          </w:tcPr>
          <w:p w14:paraId="077BC745" w14:textId="77777777" w:rsidR="00061155" w:rsidRDefault="00061155">
            <w:pPr>
              <w:spacing w:line="240" w:lineRule="auto"/>
              <w:ind w:firstLine="0"/>
            </w:pPr>
            <w:r>
              <w:t>-3.13</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32985A44" w14:textId="77777777" w:rsidR="00061155" w:rsidRDefault="00061155">
            <w:pPr>
              <w:spacing w:line="240" w:lineRule="auto"/>
              <w:ind w:firstLine="0"/>
            </w:pPr>
            <w:r>
              <w:rPr>
                <w:rFonts w:cs="Calibri"/>
                <w:color w:val="000000"/>
              </w:rPr>
              <w:t>.00</w:t>
            </w:r>
          </w:p>
        </w:tc>
      </w:tr>
      <w:tr w:rsidR="00061155" w14:paraId="53D9B1CB"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33A06520" w14:textId="77777777" w:rsidR="00061155" w:rsidRDefault="00061155">
            <w:pPr>
              <w:spacing w:line="240" w:lineRule="auto"/>
              <w:ind w:firstLine="0"/>
            </w:pPr>
            <w:r>
              <w:rPr>
                <w:rFonts w:cs="Calibri"/>
                <w:color w:val="000000"/>
              </w:rPr>
              <w:t>20</w:t>
            </w:r>
          </w:p>
        </w:tc>
        <w:tc>
          <w:tcPr>
            <w:tcW w:w="828" w:type="dxa"/>
            <w:tcBorders>
              <w:top w:val="single" w:sz="4" w:space="0" w:color="00000A"/>
              <w:left w:val="none" w:sz="0" w:space="0" w:color="000000"/>
              <w:bottom w:val="single" w:sz="4" w:space="0" w:color="00000A"/>
            </w:tcBorders>
            <w:shd w:val="clear" w:color="auto" w:fill="auto"/>
            <w:vAlign w:val="center"/>
          </w:tcPr>
          <w:p w14:paraId="2B543C17" w14:textId="77777777" w:rsidR="00061155" w:rsidRDefault="00061155">
            <w:pPr>
              <w:spacing w:line="240" w:lineRule="auto"/>
              <w:ind w:firstLine="0"/>
            </w:pPr>
            <w:r>
              <w:t>6.02*</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5992126C" w14:textId="77777777" w:rsidR="00061155" w:rsidRDefault="00061155">
            <w:pPr>
              <w:spacing w:line="240" w:lineRule="auto"/>
              <w:ind w:firstLine="0"/>
            </w:pPr>
            <w:r>
              <w:rPr>
                <w:rFonts w:cs="Calibri"/>
                <w:color w:val="000000"/>
              </w:rPr>
              <w:t>.87</w:t>
            </w:r>
          </w:p>
        </w:tc>
      </w:tr>
      <w:tr w:rsidR="00061155" w14:paraId="709AF37F"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61869C8D" w14:textId="77777777" w:rsidR="00061155" w:rsidRDefault="00061155">
            <w:pPr>
              <w:spacing w:line="240" w:lineRule="auto"/>
              <w:ind w:firstLine="0"/>
            </w:pPr>
            <w:r>
              <w:rPr>
                <w:rFonts w:cs="Calibri"/>
                <w:color w:val="000000"/>
              </w:rPr>
              <w:t>21</w:t>
            </w:r>
          </w:p>
        </w:tc>
        <w:tc>
          <w:tcPr>
            <w:tcW w:w="828" w:type="dxa"/>
            <w:tcBorders>
              <w:top w:val="single" w:sz="4" w:space="0" w:color="00000A"/>
              <w:left w:val="none" w:sz="0" w:space="0" w:color="000000"/>
              <w:bottom w:val="single" w:sz="4" w:space="0" w:color="00000A"/>
            </w:tcBorders>
            <w:shd w:val="clear" w:color="auto" w:fill="auto"/>
            <w:vAlign w:val="center"/>
          </w:tcPr>
          <w:p w14:paraId="0430A4F8" w14:textId="77777777" w:rsidR="00061155" w:rsidRDefault="00061155">
            <w:pPr>
              <w:spacing w:line="240" w:lineRule="auto"/>
              <w:ind w:firstLine="0"/>
            </w:pPr>
            <w:r>
              <w:t>-8.86</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5935661B" w14:textId="77777777" w:rsidR="00061155" w:rsidRDefault="00061155">
            <w:pPr>
              <w:spacing w:line="240" w:lineRule="auto"/>
              <w:ind w:firstLine="0"/>
            </w:pPr>
            <w:r>
              <w:rPr>
                <w:rFonts w:cs="Calibri"/>
                <w:color w:val="000000"/>
              </w:rPr>
              <w:t>.74</w:t>
            </w:r>
          </w:p>
        </w:tc>
      </w:tr>
      <w:tr w:rsidR="00061155" w14:paraId="315B547C"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037C393D" w14:textId="77777777" w:rsidR="00061155" w:rsidRDefault="00061155">
            <w:pPr>
              <w:spacing w:line="240" w:lineRule="auto"/>
              <w:ind w:firstLine="0"/>
            </w:pPr>
            <w:r>
              <w:rPr>
                <w:rFonts w:cs="Calibri"/>
                <w:color w:val="000000"/>
              </w:rPr>
              <w:t>22</w:t>
            </w:r>
          </w:p>
        </w:tc>
        <w:tc>
          <w:tcPr>
            <w:tcW w:w="828" w:type="dxa"/>
            <w:tcBorders>
              <w:top w:val="single" w:sz="4" w:space="0" w:color="00000A"/>
              <w:left w:val="none" w:sz="0" w:space="0" w:color="000000"/>
              <w:bottom w:val="single" w:sz="4" w:space="0" w:color="00000A"/>
            </w:tcBorders>
            <w:shd w:val="clear" w:color="auto" w:fill="auto"/>
            <w:vAlign w:val="center"/>
          </w:tcPr>
          <w:p w14:paraId="4FAC946E" w14:textId="77777777" w:rsidR="00061155" w:rsidRDefault="00061155">
            <w:pPr>
              <w:spacing w:line="240" w:lineRule="auto"/>
              <w:ind w:firstLine="0"/>
            </w:pPr>
            <w:r>
              <w:t>-11.47</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2AC70D70" w14:textId="77777777" w:rsidR="00061155" w:rsidRDefault="00061155">
            <w:pPr>
              <w:spacing w:line="240" w:lineRule="auto"/>
              <w:ind w:firstLine="0"/>
            </w:pPr>
            <w:r>
              <w:rPr>
                <w:rFonts w:cs="Calibri"/>
                <w:color w:val="000000"/>
              </w:rPr>
              <w:t>.54</w:t>
            </w:r>
          </w:p>
        </w:tc>
      </w:tr>
      <w:tr w:rsidR="00061155" w14:paraId="1B0E4461"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17C4E7E0" w14:textId="77777777" w:rsidR="00061155" w:rsidRDefault="00061155">
            <w:pPr>
              <w:spacing w:line="240" w:lineRule="auto"/>
              <w:ind w:firstLine="0"/>
            </w:pPr>
            <w:r>
              <w:rPr>
                <w:rFonts w:cs="Calibri"/>
                <w:color w:val="000000"/>
              </w:rPr>
              <w:t>23</w:t>
            </w:r>
          </w:p>
        </w:tc>
        <w:tc>
          <w:tcPr>
            <w:tcW w:w="828" w:type="dxa"/>
            <w:tcBorders>
              <w:top w:val="single" w:sz="4" w:space="0" w:color="00000A"/>
              <w:left w:val="none" w:sz="0" w:space="0" w:color="000000"/>
              <w:bottom w:val="single" w:sz="4" w:space="0" w:color="00000A"/>
            </w:tcBorders>
            <w:shd w:val="clear" w:color="auto" w:fill="auto"/>
            <w:vAlign w:val="center"/>
          </w:tcPr>
          <w:p w14:paraId="78003325" w14:textId="77777777" w:rsidR="00061155" w:rsidRDefault="00061155">
            <w:pPr>
              <w:spacing w:line="240" w:lineRule="auto"/>
              <w:ind w:firstLine="0"/>
            </w:pPr>
            <w:r>
              <w:t>-7.49</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3AB70A2D" w14:textId="77777777" w:rsidR="00061155" w:rsidRDefault="00061155">
            <w:pPr>
              <w:spacing w:line="240" w:lineRule="auto"/>
              <w:ind w:firstLine="0"/>
            </w:pPr>
            <w:r>
              <w:rPr>
                <w:rFonts w:cs="Calibri"/>
                <w:color w:val="000000"/>
              </w:rPr>
              <w:t>.15</w:t>
            </w:r>
          </w:p>
        </w:tc>
      </w:tr>
      <w:tr w:rsidR="00061155" w14:paraId="53CD8A11"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0D620386" w14:textId="77777777" w:rsidR="00061155" w:rsidRDefault="00061155">
            <w:pPr>
              <w:spacing w:line="240" w:lineRule="auto"/>
              <w:ind w:firstLine="0"/>
            </w:pPr>
            <w:r>
              <w:rPr>
                <w:rFonts w:cs="Calibri"/>
                <w:color w:val="000000"/>
              </w:rPr>
              <w:t>24</w:t>
            </w:r>
          </w:p>
        </w:tc>
        <w:tc>
          <w:tcPr>
            <w:tcW w:w="828" w:type="dxa"/>
            <w:tcBorders>
              <w:top w:val="single" w:sz="4" w:space="0" w:color="00000A"/>
              <w:left w:val="none" w:sz="0" w:space="0" w:color="000000"/>
              <w:bottom w:val="single" w:sz="4" w:space="0" w:color="00000A"/>
            </w:tcBorders>
            <w:shd w:val="clear" w:color="auto" w:fill="auto"/>
            <w:vAlign w:val="center"/>
          </w:tcPr>
          <w:p w14:paraId="042DEDB2" w14:textId="77777777" w:rsidR="00061155" w:rsidRDefault="00061155">
            <w:pPr>
              <w:spacing w:line="240" w:lineRule="auto"/>
              <w:ind w:firstLine="0"/>
            </w:pPr>
            <w:r>
              <w:t>-1.29</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71047A1C" w14:textId="77777777" w:rsidR="00061155" w:rsidRDefault="00061155">
            <w:pPr>
              <w:spacing w:line="240" w:lineRule="auto"/>
              <w:ind w:firstLine="0"/>
            </w:pPr>
            <w:r>
              <w:rPr>
                <w:rFonts w:cs="Calibri"/>
                <w:color w:val="000000"/>
              </w:rPr>
              <w:t>.74</w:t>
            </w:r>
          </w:p>
        </w:tc>
      </w:tr>
      <w:tr w:rsidR="00061155" w14:paraId="726C4151"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0F369ECC" w14:textId="77777777" w:rsidR="00061155" w:rsidRDefault="00061155">
            <w:pPr>
              <w:spacing w:line="240" w:lineRule="auto"/>
              <w:ind w:firstLine="0"/>
            </w:pPr>
            <w:r>
              <w:rPr>
                <w:rFonts w:cs="Calibri"/>
                <w:color w:val="000000"/>
              </w:rPr>
              <w:t>25</w:t>
            </w:r>
          </w:p>
        </w:tc>
        <w:tc>
          <w:tcPr>
            <w:tcW w:w="828" w:type="dxa"/>
            <w:tcBorders>
              <w:top w:val="single" w:sz="4" w:space="0" w:color="00000A"/>
              <w:left w:val="none" w:sz="0" w:space="0" w:color="000000"/>
              <w:bottom w:val="single" w:sz="4" w:space="0" w:color="00000A"/>
            </w:tcBorders>
            <w:shd w:val="clear" w:color="auto" w:fill="auto"/>
            <w:vAlign w:val="center"/>
          </w:tcPr>
          <w:p w14:paraId="3D76ABCF" w14:textId="77777777" w:rsidR="00061155" w:rsidRDefault="00061155">
            <w:pPr>
              <w:spacing w:line="240" w:lineRule="auto"/>
              <w:ind w:firstLine="0"/>
            </w:pPr>
            <w:r>
              <w:t>4.79*</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0CAA0AC8" w14:textId="77777777" w:rsidR="00061155" w:rsidRDefault="00061155">
            <w:pPr>
              <w:spacing w:line="240" w:lineRule="auto"/>
              <w:ind w:firstLine="0"/>
            </w:pPr>
            <w:r>
              <w:rPr>
                <w:rFonts w:cs="Calibri"/>
                <w:color w:val="000000"/>
              </w:rPr>
              <w:t>.43</w:t>
            </w:r>
          </w:p>
        </w:tc>
      </w:tr>
      <w:tr w:rsidR="00061155" w14:paraId="24465466" w14:textId="77777777">
        <w:trPr>
          <w:trHeight w:val="340"/>
          <w:jc w:val="center"/>
        </w:trPr>
        <w:tc>
          <w:tcPr>
            <w:tcW w:w="1121" w:type="dxa"/>
            <w:tcBorders>
              <w:top w:val="single" w:sz="4" w:space="0" w:color="00000A"/>
              <w:left w:val="none" w:sz="0" w:space="0" w:color="000000"/>
              <w:bottom w:val="single" w:sz="4" w:space="0" w:color="00000A"/>
            </w:tcBorders>
            <w:shd w:val="clear" w:color="auto" w:fill="auto"/>
            <w:vAlign w:val="center"/>
          </w:tcPr>
          <w:p w14:paraId="3E12B623" w14:textId="77777777" w:rsidR="00061155" w:rsidRDefault="00061155">
            <w:pPr>
              <w:spacing w:line="240" w:lineRule="auto"/>
              <w:ind w:firstLine="0"/>
            </w:pPr>
            <w:r>
              <w:rPr>
                <w:rFonts w:cs="Calibri"/>
                <w:color w:val="000000"/>
              </w:rPr>
              <w:t>26</w:t>
            </w:r>
          </w:p>
        </w:tc>
        <w:tc>
          <w:tcPr>
            <w:tcW w:w="828" w:type="dxa"/>
            <w:tcBorders>
              <w:top w:val="single" w:sz="4" w:space="0" w:color="00000A"/>
              <w:left w:val="none" w:sz="0" w:space="0" w:color="000000"/>
              <w:bottom w:val="single" w:sz="4" w:space="0" w:color="00000A"/>
            </w:tcBorders>
            <w:shd w:val="clear" w:color="auto" w:fill="auto"/>
            <w:vAlign w:val="center"/>
          </w:tcPr>
          <w:p w14:paraId="6EE24457" w14:textId="77777777" w:rsidR="00061155" w:rsidRDefault="00061155">
            <w:pPr>
              <w:spacing w:line="240" w:lineRule="auto"/>
              <w:ind w:firstLine="0"/>
            </w:pPr>
            <w:r>
              <w:t>-7.25</w:t>
            </w:r>
          </w:p>
        </w:tc>
        <w:tc>
          <w:tcPr>
            <w:tcW w:w="1366" w:type="dxa"/>
            <w:tcBorders>
              <w:top w:val="single" w:sz="4" w:space="0" w:color="00000A"/>
              <w:left w:val="none" w:sz="0" w:space="0" w:color="000000"/>
              <w:bottom w:val="single" w:sz="4" w:space="0" w:color="00000A"/>
              <w:right w:val="none" w:sz="0" w:space="0" w:color="000000"/>
            </w:tcBorders>
            <w:shd w:val="clear" w:color="auto" w:fill="auto"/>
            <w:vAlign w:val="center"/>
          </w:tcPr>
          <w:p w14:paraId="79649F75" w14:textId="77777777" w:rsidR="00061155" w:rsidRDefault="00061155">
            <w:pPr>
              <w:spacing w:line="240" w:lineRule="auto"/>
              <w:ind w:firstLine="0"/>
            </w:pPr>
            <w:r>
              <w:rPr>
                <w:rFonts w:cs="Calibri"/>
                <w:color w:val="000000"/>
              </w:rPr>
              <w:t>.48</w:t>
            </w:r>
          </w:p>
        </w:tc>
      </w:tr>
    </w:tbl>
    <w:p w14:paraId="3920A180" w14:textId="77777777" w:rsidR="00061155" w:rsidRDefault="00061155">
      <w:pPr>
        <w:pStyle w:val="ApaNormale"/>
        <w:spacing w:before="120" w:line="240" w:lineRule="auto"/>
        <w:ind w:firstLine="0"/>
      </w:pPr>
      <w:r>
        <w:rPr>
          <w:rFonts w:ascii="Calibri" w:hAnsi="Calibri" w:cs="Calibri"/>
          <w:i/>
          <w:sz w:val="22"/>
        </w:rPr>
        <w:t xml:space="preserve">Note. </w:t>
      </w:r>
      <w:r>
        <w:rPr>
          <w:rFonts w:ascii="Calibri" w:hAnsi="Calibri" w:cs="Calibri"/>
          <w:sz w:val="22"/>
        </w:rPr>
        <w:t>A star (*) indicates that a goal class is significantly associated with the positive pole of conscientiousness, according to RCS. Labels for goal classes are listed in Table 1. Details about the computation of RCS and abstractness are provided in the text.</w:t>
      </w:r>
    </w:p>
    <w:p w14:paraId="33E07A2D" w14:textId="77777777" w:rsidR="00061155" w:rsidRDefault="00061155">
      <w:pPr>
        <w:pStyle w:val="Titolo1"/>
        <w:pageBreakBefore/>
      </w:pPr>
      <w:r>
        <w:lastRenderedPageBreak/>
        <w:t>Figure captions</w:t>
      </w:r>
    </w:p>
    <w:p w14:paraId="45BBDF8C" w14:textId="77777777" w:rsidR="00061155" w:rsidRDefault="00061155">
      <w:pPr>
        <w:pStyle w:val="ApaNormale"/>
        <w:spacing w:line="240" w:lineRule="auto"/>
        <w:ind w:firstLine="0"/>
      </w:pPr>
      <w:r>
        <w:rPr>
          <w:i/>
          <w:sz w:val="20"/>
          <w:szCs w:val="20"/>
        </w:rPr>
        <w:t>Figure 1. Network of goals connected to conscientiousness and its facets.</w:t>
      </w:r>
      <w:r>
        <w:rPr>
          <w:i/>
          <w:sz w:val="20"/>
          <w:szCs w:val="20"/>
        </w:rPr>
        <w:br/>
      </w:r>
      <w:r>
        <w:rPr>
          <w:sz w:val="20"/>
          <w:szCs w:val="20"/>
        </w:rPr>
        <w:t>IND5+, IMC5+, ORD5+, and RES5+ respectively indicate the positive poles facets industriousness, impulse-control, orderliness, and responsibility, each one including five adjectives. IND5-, IMC5-, ORD5-, RES5- indicate the negative poles of the same facets. C2+ and C2+ respectively indicate two adjectives for the positive pole of conscientiousness and two for the negative pole of conscientiousness, which are not associated with specific facets. Numbers indicate goal classes: (1) Demonstrate something to others; (2) Be trustworthy; (3) Tighten or maintain ties with other people; (4) Manipulate other people’s behavior; (5) Do good to someone, avoid hurting; (6) Hurt someone; (6) Hide something from someone; (8) Compliance with standards and rules; (9) Rebel, transgress the rules; (10) Have control; (11) Personal Realization; (12) Do something well, avoid mistakes; (13)  Accomplish something, observe a commitment; (14) Do something easily or efficiently; (15) Save time; (16) Avoid or manage things you do not care about, do just what you care about; (17) Be safe; (18) Do not have repentance or remorse, do not miss opportunities; (19) Address an unexpected event; (20) Be satisfied with yourself, have a good self-esteem; (21) Feel good; (22) Try new sensations; (23) Manifest or vent a negative emotion; (24) Regulate or avoid a negative emotion; (25) Think, reflect; (26) Do not think. A thick border indicates goal classes that are associated with conscientiousness according to the Relative Conscientiousness Score and that have an acceptable abstractness. Details about the computation of the Relative Conscientiousness Score and the abstractness index are available in the text.</w:t>
      </w:r>
    </w:p>
    <w:sectPr w:rsidR="00061155">
      <w:headerReference w:type="even" r:id="rId31"/>
      <w:headerReference w:type="default" r:id="rId32"/>
      <w:headerReference w:type="first" r:id="rId33"/>
      <w:pgSz w:w="11906" w:h="16838"/>
      <w:pgMar w:top="1417" w:right="1134" w:bottom="1134" w:left="1134" w:header="708"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C6F929" w14:textId="77777777" w:rsidR="00DD2EB8" w:rsidRDefault="00DD2EB8">
      <w:pPr>
        <w:spacing w:line="240" w:lineRule="auto"/>
      </w:pPr>
      <w:r>
        <w:separator/>
      </w:r>
    </w:p>
  </w:endnote>
  <w:endnote w:type="continuationSeparator" w:id="0">
    <w:p w14:paraId="381F0A75" w14:textId="77777777" w:rsidR="00DD2EB8" w:rsidRDefault="00DD2EB8">
      <w:pPr>
        <w:spacing w:line="240" w:lineRule="auto"/>
      </w:pPr>
      <w:r>
        <w:continuationSeparator/>
      </w:r>
    </w:p>
  </w:endnote>
  <w:endnote w:type="continuationNotice" w:id="1">
    <w:p w14:paraId="683F97D6" w14:textId="77777777" w:rsidR="00DD2EB8" w:rsidRDefault="00DD2EB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Noto Sans CJK SC Regular">
    <w:charset w:val="01"/>
    <w:family w:val="auto"/>
    <w:pitch w:val="variable"/>
  </w:font>
  <w:font w:name="FreeSans">
    <w:altName w:val="Calibri"/>
    <w:charset w:val="01"/>
    <w:family w:val="auto"/>
    <w:pitch w:val="variable"/>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4721A9" w14:textId="77777777" w:rsidR="00ED1439" w:rsidRDefault="00ED143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759D64" w14:textId="77777777" w:rsidR="00DD2EB8" w:rsidRDefault="00DD2EB8">
      <w:pPr>
        <w:spacing w:line="240" w:lineRule="auto"/>
      </w:pPr>
      <w:r>
        <w:separator/>
      </w:r>
    </w:p>
  </w:footnote>
  <w:footnote w:type="continuationSeparator" w:id="0">
    <w:p w14:paraId="72B59B8F" w14:textId="77777777" w:rsidR="00DD2EB8" w:rsidRDefault="00DD2EB8">
      <w:pPr>
        <w:spacing w:line="240" w:lineRule="auto"/>
      </w:pPr>
      <w:r>
        <w:continuationSeparator/>
      </w:r>
    </w:p>
  </w:footnote>
  <w:footnote w:type="continuationNotice" w:id="1">
    <w:p w14:paraId="5CD168C6" w14:textId="77777777" w:rsidR="00DD2EB8" w:rsidRDefault="00DD2EB8">
      <w:pPr>
        <w:spacing w:line="240" w:lineRule="auto"/>
      </w:pPr>
    </w:p>
  </w:footnote>
  <w:footnote w:id="2">
    <w:p w14:paraId="02D9C3B8" w14:textId="77777777" w:rsidR="00B35FC4" w:rsidRDefault="00B35FC4">
      <w:pPr>
        <w:pStyle w:val="Testonotaapidipagina"/>
      </w:pPr>
      <w:r>
        <w:rPr>
          <w:rStyle w:val="FootnoteCharacters"/>
          <w:rFonts w:ascii="Times New Roman" w:hAnsi="Times New Roman"/>
        </w:rPr>
        <w:footnoteRef/>
      </w:r>
      <w:r>
        <w:rPr>
          <w:rFonts w:cs="Calibri"/>
        </w:rPr>
        <w:tab/>
        <w:t xml:space="preserve"> </w:t>
      </w:r>
      <w:r>
        <w:t xml:space="preserve">Following Baumert and colleagues in this manuscript, we adopt the term behavior to mean “Behaviour in a broad sense: everything an organism does. This includes observable actions, covert actions, cognitions, motivations, and emotions in a broad sense” </w:t>
      </w:r>
      <w:r w:rsidRPr="00FB206C">
        <w:rPr>
          <w:lang w:eastAsia="it-IT"/>
        </w:rPr>
        <w:t>(Baumert et al., 2017)</w:t>
      </w:r>
      <w:r>
        <w:t>.</w:t>
      </w:r>
    </w:p>
  </w:footnote>
  <w:footnote w:id="3">
    <w:p w14:paraId="773624CF" w14:textId="77777777" w:rsidR="00B35FC4" w:rsidRDefault="00B35FC4">
      <w:pPr>
        <w:pStyle w:val="Testonotaapidipagina"/>
      </w:pPr>
      <w:r>
        <w:rPr>
          <w:rStyle w:val="FootnoteCharacters"/>
          <w:rFonts w:ascii="Times New Roman" w:hAnsi="Times New Roman"/>
        </w:rPr>
        <w:footnoteRef/>
      </w:r>
      <w:r>
        <w:rPr>
          <w:rFonts w:cs="Calibri"/>
        </w:rPr>
        <w:tab/>
        <w:t xml:space="preserve"> </w:t>
      </w:r>
      <w:r>
        <w:t xml:space="preserve">According to McCrae and Costa “neither life experiences nor culture are supposed to affect traits” </w:t>
      </w:r>
      <w:r w:rsidRPr="00FB206C">
        <w:rPr>
          <w:lang w:eastAsia="it-IT"/>
        </w:rPr>
        <w:t xml:space="preserve">(McCrae &amp; Costa, 2008, p. 279; see also McCrae &amp; Sutin, 2018). </w:t>
      </w:r>
    </w:p>
  </w:footnote>
  <w:footnote w:id="4">
    <w:p w14:paraId="732F1787" w14:textId="77777777" w:rsidR="00B35FC4" w:rsidRDefault="00B35FC4">
      <w:pPr>
        <w:pStyle w:val="Testonotaapidipagina"/>
      </w:pPr>
      <w:r>
        <w:rPr>
          <w:rStyle w:val="FootnoteCharacters"/>
          <w:rFonts w:ascii="Times New Roman" w:hAnsi="Times New Roman"/>
        </w:rPr>
        <w:footnoteRef/>
      </w:r>
      <w:r>
        <w:rPr>
          <w:rFonts w:cs="Calibri"/>
        </w:rPr>
        <w:tab/>
        <w:t xml:space="preserve"> </w:t>
      </w:r>
      <w:r>
        <w:t>It is worth noticing that characteristic adaptations are not univocally defined in the literature, but their meaning differs slightly across theories of personality (e.g., DeYoung, 2015, 2017b).</w:t>
      </w:r>
    </w:p>
  </w:footnote>
  <w:footnote w:id="5">
    <w:p w14:paraId="70A69066" w14:textId="77777777" w:rsidR="00B35FC4" w:rsidRDefault="00B35FC4">
      <w:pPr>
        <w:pStyle w:val="Testonotaapidipagina"/>
      </w:pPr>
      <w:r>
        <w:rPr>
          <w:rStyle w:val="FootnoteCharacters"/>
          <w:rFonts w:ascii="Times New Roman" w:hAnsi="Times New Roman"/>
        </w:rPr>
        <w:footnoteRef/>
      </w:r>
      <w:r>
        <w:rPr>
          <w:rFonts w:cs="Calibri"/>
        </w:rPr>
        <w:tab/>
        <w:t xml:space="preserve"> </w:t>
      </w:r>
      <w:r>
        <w:t xml:space="preserve">Methods for estimating networks representing causal directions from observational data exist as well </w:t>
      </w:r>
      <w:r w:rsidRPr="00FB206C">
        <w:rPr>
          <w:lang w:eastAsia="it-IT"/>
        </w:rPr>
        <w:t>(Pearl, 2000)</w:t>
      </w:r>
      <w:r>
        <w:t xml:space="preserve">, however they rest on assumptions that are often untenable for personality psychology and tend to lead to less reliable conclusions </w:t>
      </w:r>
      <w:r w:rsidRPr="00FB206C">
        <w:rPr>
          <w:lang w:eastAsia="it-IT"/>
        </w:rPr>
        <w:t>(for a more detailed discussion about using these methods in psychology, see Epskamp, Waldorp, et al., 2017)</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FE8AB9" w14:textId="77777777" w:rsidR="00B35FC4" w:rsidRDefault="00B35FC4">
    <w:pPr>
      <w:pStyle w:val="Intestazione"/>
      <w:jc w:val="right"/>
    </w:pPr>
    <w:r>
      <w:fldChar w:fldCharType="begin"/>
    </w:r>
    <w:r>
      <w:instrText xml:space="preserve"> PAGE </w:instrText>
    </w:r>
    <w:r>
      <w:fldChar w:fldCharType="separate"/>
    </w:r>
    <w:r w:rsidR="00DB7D33">
      <w:rPr>
        <w:noProof/>
      </w:rPr>
      <w:t>29</w:t>
    </w:r>
    <w:r>
      <w:fldChar w:fldCharType="end"/>
    </w:r>
  </w:p>
  <w:p w14:paraId="001CA3D1" w14:textId="77777777" w:rsidR="00B35FC4" w:rsidRDefault="00B35FC4">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B96C71" w14:textId="77777777" w:rsidR="00B35FC4" w:rsidRDefault="00B35FC4"/>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C259CC" w14:textId="77777777" w:rsidR="00B35FC4" w:rsidRDefault="00B35FC4"/>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8DF9D4" w14:textId="77777777" w:rsidR="00B35FC4" w:rsidRDefault="00B35FC4">
    <w:pPr>
      <w:pStyle w:val="Intestazione"/>
      <w:jc w:val="right"/>
    </w:pPr>
    <w:r>
      <w:fldChar w:fldCharType="begin"/>
    </w:r>
    <w:r>
      <w:instrText xml:space="preserve"> PAGE </w:instrText>
    </w:r>
    <w:r>
      <w:fldChar w:fldCharType="separate"/>
    </w:r>
    <w:r w:rsidR="0054088B">
      <w:rPr>
        <w:noProof/>
      </w:rPr>
      <w:t>46</w:t>
    </w:r>
    <w:r>
      <w:fldChar w:fldCharType="end"/>
    </w:r>
  </w:p>
  <w:p w14:paraId="32B5E5ED" w14:textId="77777777" w:rsidR="00B35FC4" w:rsidRDefault="00B35FC4">
    <w:pPr>
      <w:pStyle w:val="Intestazion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3C43D9" w14:textId="77777777" w:rsidR="00B35FC4" w:rsidRDefault="00B35FC4"/>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B3EC4C" w14:textId="77777777" w:rsidR="00B35FC4" w:rsidRDefault="00B35FC4"/>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D3C9F4" w14:textId="77777777" w:rsidR="00B35FC4" w:rsidRDefault="00B35FC4">
    <w:pPr>
      <w:pStyle w:val="Intestazione"/>
      <w:jc w:val="right"/>
    </w:pPr>
    <w:r>
      <w:rPr>
        <w:rFonts w:ascii="Times New Roman" w:hAnsi="Times New Roman"/>
        <w:smallCaps/>
        <w:sz w:val="24"/>
        <w:szCs w:val="24"/>
      </w:rPr>
      <w:t xml:space="preserve">a framework for causality in personality   </w:t>
    </w:r>
    <w:r>
      <w:fldChar w:fldCharType="begin"/>
    </w:r>
    <w:r>
      <w:instrText xml:space="preserve"> PAGE </w:instrText>
    </w:r>
    <w:r>
      <w:fldChar w:fldCharType="separate"/>
    </w:r>
    <w:r w:rsidR="0054088B">
      <w:rPr>
        <w:noProof/>
      </w:rPr>
      <w:t>48</w:t>
    </w:r>
    <w: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FEC717" w14:textId="77777777" w:rsidR="00B35FC4" w:rsidRDefault="00B35FC4">
    <w:pPr>
      <w:pStyle w:val="Intestazione"/>
    </w:pPr>
    <w:r>
      <w:rPr>
        <w:rFonts w:ascii="Times New Roman" w:hAnsi="Times New Roman"/>
        <w:sz w:val="24"/>
        <w:szCs w:val="24"/>
      </w:rPr>
      <w:t xml:space="preserve">Running Head: </w:t>
    </w:r>
    <w:r>
      <w:rPr>
        <w:rFonts w:ascii="Times New Roman" w:hAnsi="Times New Roman"/>
        <w:smallCaps/>
        <w:sz w:val="24"/>
        <w:szCs w:val="24"/>
      </w:rPr>
      <w:t>a framework for causality in personality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pStyle w:val="Titolo1"/>
      <w:suff w:val="nothing"/>
      <w:lvlText w:val=""/>
      <w:lvlJc w:val="left"/>
      <w:pPr>
        <w:tabs>
          <w:tab w:val="num" w:pos="0"/>
        </w:tabs>
        <w:ind w:left="0" w:firstLine="0"/>
      </w:pPr>
    </w:lvl>
    <w:lvl w:ilvl="1">
      <w:start w:val="1"/>
      <w:numFmt w:val="none"/>
      <w:pStyle w:val="Titolo2"/>
      <w:suff w:val="nothing"/>
      <w:lvlText w:val=""/>
      <w:lvlJc w:val="left"/>
      <w:pPr>
        <w:tabs>
          <w:tab w:val="num" w:pos="0"/>
        </w:tabs>
        <w:ind w:left="0" w:firstLine="0"/>
      </w:pPr>
    </w:lvl>
    <w:lvl w:ilvl="2">
      <w:start w:val="1"/>
      <w:numFmt w:val="none"/>
      <w:pStyle w:val="Titolo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6"/>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 w15:restartNumberingAfterBreak="0">
    <w:nsid w:val="00000003"/>
    <w:multiLevelType w:val="multilevel"/>
    <w:tmpl w:val="0000000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4"/>
    <w:multiLevelType w:val="multilevel"/>
    <w:tmpl w:val="0000000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MzUwMLY0MDQ3NjQ1MTFT0lEKTi0uzszPAykwqgUAgLci/CwAAAA="/>
  </w:docVars>
  <w:rsids>
    <w:rsidRoot w:val="00296665"/>
    <w:rsid w:val="00006509"/>
    <w:rsid w:val="000067C5"/>
    <w:rsid w:val="00045154"/>
    <w:rsid w:val="00061155"/>
    <w:rsid w:val="00067B2C"/>
    <w:rsid w:val="00094087"/>
    <w:rsid w:val="000E1348"/>
    <w:rsid w:val="000F1C73"/>
    <w:rsid w:val="000F3187"/>
    <w:rsid w:val="001463FD"/>
    <w:rsid w:val="00171EF4"/>
    <w:rsid w:val="001736F1"/>
    <w:rsid w:val="001855EA"/>
    <w:rsid w:val="00191CC8"/>
    <w:rsid w:val="001B7B6C"/>
    <w:rsid w:val="001D4473"/>
    <w:rsid w:val="001E37FB"/>
    <w:rsid w:val="00223785"/>
    <w:rsid w:val="0023366B"/>
    <w:rsid w:val="00234FFA"/>
    <w:rsid w:val="0029503F"/>
    <w:rsid w:val="00296665"/>
    <w:rsid w:val="002B0BA0"/>
    <w:rsid w:val="002C5B47"/>
    <w:rsid w:val="002F1B01"/>
    <w:rsid w:val="0034469D"/>
    <w:rsid w:val="00364EC9"/>
    <w:rsid w:val="0037261A"/>
    <w:rsid w:val="003726D4"/>
    <w:rsid w:val="003D04E8"/>
    <w:rsid w:val="003E14AC"/>
    <w:rsid w:val="004065AC"/>
    <w:rsid w:val="0041047D"/>
    <w:rsid w:val="00412468"/>
    <w:rsid w:val="00415C69"/>
    <w:rsid w:val="0042048F"/>
    <w:rsid w:val="00420A95"/>
    <w:rsid w:val="004312E2"/>
    <w:rsid w:val="00464BBE"/>
    <w:rsid w:val="00473285"/>
    <w:rsid w:val="00480B64"/>
    <w:rsid w:val="00492FE8"/>
    <w:rsid w:val="004B7DD9"/>
    <w:rsid w:val="004C0CE6"/>
    <w:rsid w:val="004C39B0"/>
    <w:rsid w:val="004E1CDC"/>
    <w:rsid w:val="004E51DE"/>
    <w:rsid w:val="00512BC3"/>
    <w:rsid w:val="0054088B"/>
    <w:rsid w:val="00547F94"/>
    <w:rsid w:val="00554A53"/>
    <w:rsid w:val="005626D3"/>
    <w:rsid w:val="00566259"/>
    <w:rsid w:val="00573206"/>
    <w:rsid w:val="00573DF1"/>
    <w:rsid w:val="00595CB5"/>
    <w:rsid w:val="005F1A8E"/>
    <w:rsid w:val="00605EA0"/>
    <w:rsid w:val="00611E0D"/>
    <w:rsid w:val="00625F57"/>
    <w:rsid w:val="00644664"/>
    <w:rsid w:val="00653085"/>
    <w:rsid w:val="00663C39"/>
    <w:rsid w:val="00686164"/>
    <w:rsid w:val="006A01DC"/>
    <w:rsid w:val="00705306"/>
    <w:rsid w:val="00750CCF"/>
    <w:rsid w:val="00776F7D"/>
    <w:rsid w:val="007A3371"/>
    <w:rsid w:val="007A506D"/>
    <w:rsid w:val="007B0C41"/>
    <w:rsid w:val="007B2DED"/>
    <w:rsid w:val="007B7ED3"/>
    <w:rsid w:val="007E1534"/>
    <w:rsid w:val="007E6989"/>
    <w:rsid w:val="007E6B87"/>
    <w:rsid w:val="007F22A8"/>
    <w:rsid w:val="00827599"/>
    <w:rsid w:val="00856832"/>
    <w:rsid w:val="00861165"/>
    <w:rsid w:val="00863FC1"/>
    <w:rsid w:val="00897538"/>
    <w:rsid w:val="008A5CFD"/>
    <w:rsid w:val="008C5E0C"/>
    <w:rsid w:val="008E58D9"/>
    <w:rsid w:val="008F3C64"/>
    <w:rsid w:val="008F5DEB"/>
    <w:rsid w:val="009465AB"/>
    <w:rsid w:val="009A22EB"/>
    <w:rsid w:val="009A348A"/>
    <w:rsid w:val="009C385F"/>
    <w:rsid w:val="00A118CD"/>
    <w:rsid w:val="00A25E01"/>
    <w:rsid w:val="00A44380"/>
    <w:rsid w:val="00A66BB2"/>
    <w:rsid w:val="00A87D9A"/>
    <w:rsid w:val="00AC2BDA"/>
    <w:rsid w:val="00AD2F4D"/>
    <w:rsid w:val="00AE765A"/>
    <w:rsid w:val="00B01E70"/>
    <w:rsid w:val="00B07D22"/>
    <w:rsid w:val="00B337BA"/>
    <w:rsid w:val="00B35FC4"/>
    <w:rsid w:val="00B44591"/>
    <w:rsid w:val="00B5780E"/>
    <w:rsid w:val="00B57876"/>
    <w:rsid w:val="00B714C9"/>
    <w:rsid w:val="00B92596"/>
    <w:rsid w:val="00B92769"/>
    <w:rsid w:val="00BA1D0A"/>
    <w:rsid w:val="00BF6336"/>
    <w:rsid w:val="00C6060F"/>
    <w:rsid w:val="00C76806"/>
    <w:rsid w:val="00C87D05"/>
    <w:rsid w:val="00CE3F8A"/>
    <w:rsid w:val="00CE68BF"/>
    <w:rsid w:val="00CF7569"/>
    <w:rsid w:val="00D007DF"/>
    <w:rsid w:val="00D2479E"/>
    <w:rsid w:val="00D3336C"/>
    <w:rsid w:val="00D40F56"/>
    <w:rsid w:val="00D438CE"/>
    <w:rsid w:val="00D65BC1"/>
    <w:rsid w:val="00D66881"/>
    <w:rsid w:val="00D83761"/>
    <w:rsid w:val="00DB7D33"/>
    <w:rsid w:val="00DC37A2"/>
    <w:rsid w:val="00DD2EB8"/>
    <w:rsid w:val="00DD741D"/>
    <w:rsid w:val="00DE6A1C"/>
    <w:rsid w:val="00E21A4D"/>
    <w:rsid w:val="00EB4A1B"/>
    <w:rsid w:val="00EC21D7"/>
    <w:rsid w:val="00EC68C6"/>
    <w:rsid w:val="00ED1439"/>
    <w:rsid w:val="00EE0676"/>
    <w:rsid w:val="00EE1094"/>
    <w:rsid w:val="00EE207F"/>
    <w:rsid w:val="00EE284F"/>
    <w:rsid w:val="00EE6065"/>
    <w:rsid w:val="00F01011"/>
    <w:rsid w:val="00F02307"/>
    <w:rsid w:val="00F03341"/>
    <w:rsid w:val="00F1050A"/>
    <w:rsid w:val="00F7332D"/>
    <w:rsid w:val="00F81A23"/>
    <w:rsid w:val="00FA77DF"/>
    <w:rsid w:val="00FB067C"/>
    <w:rsid w:val="00FB206C"/>
    <w:rsid w:val="00FD215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F95DB8D"/>
  <w15:chartTrackingRefBased/>
  <w15:docId w15:val="{9E8B698D-128B-4250-A2D7-25E5FDA4A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iPriority="0" w:unhideWhenUsed="1"/>
  </w:latentStyles>
  <w:style w:type="paragraph" w:default="1" w:styleId="Normale">
    <w:name w:val="Normal"/>
    <w:qFormat/>
    <w:rsid w:val="00ED1439"/>
    <w:pPr>
      <w:suppressAutoHyphens/>
      <w:spacing w:line="256" w:lineRule="auto"/>
      <w:ind w:firstLine="720"/>
    </w:pPr>
    <w:rPr>
      <w:rFonts w:ascii="Calibri" w:eastAsia="Calibri" w:hAnsi="Calibri"/>
      <w:sz w:val="22"/>
      <w:szCs w:val="22"/>
      <w:lang w:val="en-US" w:eastAsia="zh-CN"/>
    </w:rPr>
  </w:style>
  <w:style w:type="paragraph" w:styleId="Titolo1">
    <w:name w:val="heading 1"/>
    <w:basedOn w:val="ApaNormale"/>
    <w:next w:val="Normale"/>
    <w:qFormat/>
    <w:pPr>
      <w:keepNext/>
      <w:numPr>
        <w:numId w:val="1"/>
      </w:numPr>
      <w:spacing w:before="360" w:after="120"/>
      <w:ind w:firstLine="706"/>
      <w:jc w:val="center"/>
      <w:outlineLvl w:val="0"/>
    </w:pPr>
    <w:rPr>
      <w:b/>
    </w:rPr>
  </w:style>
  <w:style w:type="paragraph" w:styleId="Titolo2">
    <w:name w:val="heading 2"/>
    <w:basedOn w:val="ApaNormale"/>
    <w:next w:val="Normale"/>
    <w:qFormat/>
    <w:pPr>
      <w:numPr>
        <w:ilvl w:val="1"/>
        <w:numId w:val="1"/>
      </w:numPr>
      <w:spacing w:before="240"/>
      <w:outlineLvl w:val="1"/>
    </w:pPr>
    <w:rPr>
      <w:b/>
    </w:rPr>
  </w:style>
  <w:style w:type="paragraph" w:styleId="Titolo3">
    <w:name w:val="heading 3"/>
    <w:basedOn w:val="ApaNormale"/>
    <w:next w:val="Normale"/>
    <w:qFormat/>
    <w:pPr>
      <w:numPr>
        <w:ilvl w:val="2"/>
        <w:numId w:val="1"/>
      </w:numPr>
      <w:jc w:val="both"/>
      <w:outlineLvl w:val="2"/>
    </w:pPr>
    <w:rPr>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Pr>
      <w:rFonts w:ascii="Symbol" w:hAnsi="Symbol" w:cs="Symbol" w:hint="default"/>
    </w:rPr>
  </w:style>
  <w:style w:type="character" w:customStyle="1" w:styleId="WW8Num1z2">
    <w:name w:val="WW8Num1z2"/>
    <w:rPr>
      <w:rFonts w:ascii="Wingdings" w:hAnsi="Wingdings" w:cs="Wingdings" w:hint="default"/>
    </w:rPr>
  </w:style>
  <w:style w:type="character" w:customStyle="1" w:styleId="WW8Num1z4">
    <w:name w:val="WW8Num1z4"/>
    <w:rPr>
      <w:rFonts w:ascii="Courier New" w:hAnsi="Courier New" w:cs="Courier New" w:hint="default"/>
    </w:rPr>
  </w:style>
  <w:style w:type="character" w:customStyle="1" w:styleId="WW8Num2z0">
    <w:name w:val="WW8Num2z0"/>
    <w:rPr>
      <w:rFonts w:ascii="Symbol" w:hAnsi="Symbol" w:cs="Symbol" w:hint="default"/>
    </w:rPr>
  </w:style>
  <w:style w:type="character" w:customStyle="1" w:styleId="WW8Num2z1">
    <w:name w:val="WW8Num2z1"/>
    <w:rPr>
      <w:rFonts w:ascii="Courier New" w:hAnsi="Courier New" w:cs="Courier New" w:hint="default"/>
    </w:rPr>
  </w:style>
  <w:style w:type="character" w:customStyle="1" w:styleId="WW8Num2z2">
    <w:name w:val="WW8Num2z2"/>
    <w:rPr>
      <w:rFonts w:ascii="Wingdings" w:hAnsi="Wingdings" w:cs="Wingdings" w:hint="default"/>
    </w:rPr>
  </w:style>
  <w:style w:type="character" w:customStyle="1" w:styleId="WW8Num3z0">
    <w:name w:val="WW8Num3z0"/>
    <w:rPr>
      <w:rFonts w:ascii="Times New Roman" w:eastAsia="Times New Roman" w:hAnsi="Times New Roman" w:cs="Times New Roman" w:hint="default"/>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WW8Num4z0">
    <w:name w:val="WW8Num4z0"/>
    <w:rPr>
      <w:rFonts w:ascii="Symbol" w:hAnsi="Symbol" w:cs="Symbol" w:hint="default"/>
    </w:rPr>
  </w:style>
  <w:style w:type="character" w:customStyle="1" w:styleId="WW8Num4z1">
    <w:name w:val="WW8Num4z1"/>
    <w:rPr>
      <w:rFonts w:ascii="Courier New" w:hAnsi="Courier New" w:cs="Courier New" w:hint="default"/>
    </w:rPr>
  </w:style>
  <w:style w:type="character" w:customStyle="1" w:styleId="WW8Num4z2">
    <w:name w:val="WW8Num4z2"/>
    <w:rPr>
      <w:rFonts w:ascii="Wingdings" w:hAnsi="Wingdings" w:cs="Wingdings" w:hint="default"/>
    </w:rPr>
  </w:style>
  <w:style w:type="character" w:customStyle="1" w:styleId="WW8Num5z0">
    <w:name w:val="WW8Num5z0"/>
    <w:rPr>
      <w:rFonts w:ascii="Symbol" w:hAnsi="Symbol" w:cs="Symbol" w:hint="default"/>
    </w:rPr>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ascii="Symbol" w:hAnsi="Symbol" w:cs="Symbol" w:hint="default"/>
    </w:rPr>
  </w:style>
  <w:style w:type="character" w:customStyle="1" w:styleId="WW8Num7z1">
    <w:name w:val="WW8Num7z1"/>
    <w:rPr>
      <w:rFonts w:ascii="Courier New" w:hAnsi="Courier New" w:cs="Courier New" w:hint="default"/>
    </w:rPr>
  </w:style>
  <w:style w:type="character" w:customStyle="1" w:styleId="WW8Num7z2">
    <w:name w:val="WW8Num7z2"/>
    <w:rPr>
      <w:rFonts w:ascii="Wingdings" w:hAnsi="Wingdings" w:cs="Wingdings" w:hint="default"/>
    </w:rPr>
  </w:style>
  <w:style w:type="character" w:customStyle="1" w:styleId="WW8Num8z0">
    <w:name w:val="WW8Num8z0"/>
    <w:rPr>
      <w:rFonts w:hint="default"/>
    </w:rPr>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8z3">
    <w:name w:val="WW8Num8z3"/>
    <w:rPr>
      <w:rFonts w:ascii="Symbol" w:hAnsi="Symbol" w:cs="Symbol" w:hint="default"/>
    </w:rPr>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Carpredefinitoparagrafo1">
    <w:name w:val="Car. predefinito paragrafo1"/>
  </w:style>
  <w:style w:type="character" w:customStyle="1" w:styleId="Titolo1Carattere">
    <w:name w:val="Titolo 1 Carattere"/>
    <w:rPr>
      <w:rFonts w:ascii="Times New Roman" w:hAnsi="Times New Roman" w:cs="Times New Roman"/>
      <w:b/>
      <w:sz w:val="24"/>
    </w:rPr>
  </w:style>
  <w:style w:type="character" w:customStyle="1" w:styleId="ApaNormaleCarattere">
    <w:name w:val="Apa Normale Carattere"/>
    <w:rPr>
      <w:rFonts w:ascii="Times New Roman" w:hAnsi="Times New Roman" w:cs="Times New Roman"/>
      <w:sz w:val="24"/>
    </w:rPr>
  </w:style>
  <w:style w:type="character" w:customStyle="1" w:styleId="IntestazioneCarattere">
    <w:name w:val="Intestazione Carattere"/>
    <w:basedOn w:val="Carpredefinitoparagrafo1"/>
  </w:style>
  <w:style w:type="character" w:customStyle="1" w:styleId="TestonotaapidipaginaCarattere">
    <w:name w:val="Testo nota a piè di pagina Carattere"/>
    <w:rPr>
      <w:sz w:val="20"/>
      <w:szCs w:val="20"/>
    </w:rPr>
  </w:style>
  <w:style w:type="character" w:customStyle="1" w:styleId="FootnoteCharacters">
    <w:name w:val="Footnote Characters"/>
    <w:rPr>
      <w:vertAlign w:val="superscript"/>
    </w:rPr>
  </w:style>
  <w:style w:type="character" w:styleId="Collegamentoipertestuale">
    <w:name w:val="Hyperlink"/>
    <w:rPr>
      <w:color w:val="0000FF"/>
      <w:u w:val="single"/>
    </w:rPr>
  </w:style>
  <w:style w:type="character" w:customStyle="1" w:styleId="Rimandocommento1">
    <w:name w:val="Rimando commento1"/>
    <w:rPr>
      <w:sz w:val="16"/>
      <w:szCs w:val="16"/>
    </w:rPr>
  </w:style>
  <w:style w:type="character" w:customStyle="1" w:styleId="TestocommentoCarattere">
    <w:name w:val="Testo commento Carattere"/>
    <w:rPr>
      <w:sz w:val="20"/>
      <w:szCs w:val="20"/>
    </w:rPr>
  </w:style>
  <w:style w:type="character" w:customStyle="1" w:styleId="SoggettocommentoCarattere">
    <w:name w:val="Soggetto commento Carattere"/>
    <w:rPr>
      <w:b/>
      <w:bCs/>
      <w:sz w:val="20"/>
      <w:szCs w:val="20"/>
    </w:rPr>
  </w:style>
  <w:style w:type="character" w:customStyle="1" w:styleId="TestofumettoCarattere">
    <w:name w:val="Testo fumetto Carattere"/>
    <w:rPr>
      <w:rFonts w:ascii="Segoe UI" w:hAnsi="Segoe UI" w:cs="Segoe UI"/>
      <w:sz w:val="18"/>
      <w:szCs w:val="18"/>
    </w:rPr>
  </w:style>
  <w:style w:type="character" w:customStyle="1" w:styleId="PidipaginaCarattere">
    <w:name w:val="Piè di pagina Carattere"/>
    <w:basedOn w:val="Carpredefinitoparagrafo1"/>
  </w:style>
  <w:style w:type="character" w:customStyle="1" w:styleId="Titolo2Carattere">
    <w:name w:val="Titolo 2 Carattere"/>
    <w:rPr>
      <w:rFonts w:ascii="Times New Roman" w:hAnsi="Times New Roman" w:cs="Times New Roman"/>
      <w:b/>
      <w:sz w:val="24"/>
      <w:szCs w:val="22"/>
      <w:lang w:val="en-US"/>
    </w:rPr>
  </w:style>
  <w:style w:type="character" w:customStyle="1" w:styleId="Titolo3Carattere">
    <w:name w:val="Titolo 3 Carattere"/>
    <w:rPr>
      <w:rFonts w:ascii="Times New Roman" w:hAnsi="Times New Roman" w:cs="Times New Roman"/>
      <w:b/>
      <w:sz w:val="24"/>
      <w:szCs w:val="22"/>
      <w:lang w:val="en-US"/>
    </w:rPr>
  </w:style>
  <w:style w:type="character" w:customStyle="1" w:styleId="Normale1Carattere">
    <w:name w:val="Normale1 Carattere"/>
    <w:rPr>
      <w:rFonts w:ascii="Arial" w:eastAsia="Arial" w:hAnsi="Arial" w:cs="Arial"/>
      <w:color w:val="000000"/>
      <w:kern w:val="2"/>
      <w:szCs w:val="24"/>
      <w:lang w:eastAsia="ja-JP"/>
    </w:rPr>
  </w:style>
  <w:style w:type="character" w:customStyle="1" w:styleId="EndnoteCharacters">
    <w:name w:val="Endnote Characters"/>
    <w:rPr>
      <w:vertAlign w:val="superscript"/>
    </w:rPr>
  </w:style>
  <w:style w:type="character" w:styleId="Menzionenonrisolta">
    <w:name w:val="Unresolved Mention"/>
    <w:rPr>
      <w:color w:val="808080"/>
      <w:shd w:val="clear" w:color="auto" w:fill="E6E6E6"/>
    </w:rPr>
  </w:style>
  <w:style w:type="character" w:customStyle="1" w:styleId="WW-InternetLink">
    <w:name w:val="WW-Internet Link"/>
    <w:rPr>
      <w:color w:val="0000FF"/>
      <w:u w:val="single"/>
    </w:rPr>
  </w:style>
  <w:style w:type="character" w:styleId="Rimandonotaapidipagina">
    <w:name w:val="footnote reference"/>
    <w:rPr>
      <w:vertAlign w:val="superscript"/>
    </w:rPr>
  </w:style>
  <w:style w:type="character" w:styleId="Rimandonotadichiusura">
    <w:name w:val="endnote reference"/>
    <w:rPr>
      <w:vertAlign w:val="superscript"/>
    </w:rPr>
  </w:style>
  <w:style w:type="character" w:customStyle="1" w:styleId="NumberingSymbols">
    <w:name w:val="Numbering Symbols"/>
  </w:style>
  <w:style w:type="paragraph" w:customStyle="1" w:styleId="Heading">
    <w:name w:val="Heading"/>
    <w:basedOn w:val="Normale"/>
    <w:next w:val="Corpotesto"/>
    <w:pPr>
      <w:keepNext/>
      <w:spacing w:before="240" w:after="120"/>
    </w:pPr>
    <w:rPr>
      <w:rFonts w:ascii="Liberation Sans" w:eastAsia="Noto Sans CJK SC Regular" w:hAnsi="Liberation Sans" w:cs="FreeSans"/>
      <w:sz w:val="28"/>
      <w:szCs w:val="28"/>
    </w:rPr>
  </w:style>
  <w:style w:type="paragraph" w:styleId="Corpotesto">
    <w:name w:val="Body Text"/>
    <w:basedOn w:val="Normale"/>
    <w:pPr>
      <w:spacing w:after="140" w:line="276" w:lineRule="auto"/>
    </w:pPr>
  </w:style>
  <w:style w:type="paragraph" w:styleId="Elenco">
    <w:name w:val="List"/>
    <w:basedOn w:val="Corpotesto"/>
    <w:rPr>
      <w:rFonts w:cs="FreeSans"/>
    </w:rPr>
  </w:style>
  <w:style w:type="paragraph" w:styleId="Didascalia">
    <w:name w:val="caption"/>
    <w:basedOn w:val="Normale"/>
    <w:qFormat/>
    <w:pPr>
      <w:suppressLineNumbers/>
      <w:spacing w:before="120" w:after="120"/>
    </w:pPr>
    <w:rPr>
      <w:rFonts w:cs="FreeSans"/>
      <w:i/>
      <w:iCs/>
      <w:sz w:val="24"/>
      <w:szCs w:val="24"/>
    </w:rPr>
  </w:style>
  <w:style w:type="paragraph" w:customStyle="1" w:styleId="Index">
    <w:name w:val="Index"/>
    <w:basedOn w:val="Normale"/>
    <w:pPr>
      <w:suppressLineNumbers/>
    </w:pPr>
    <w:rPr>
      <w:rFonts w:cs="FreeSans"/>
    </w:rPr>
  </w:style>
  <w:style w:type="paragraph" w:customStyle="1" w:styleId="ApaNormale">
    <w:name w:val="Apa Normale"/>
    <w:basedOn w:val="Normale"/>
    <w:pPr>
      <w:spacing w:line="480" w:lineRule="auto"/>
      <w:ind w:firstLine="709"/>
    </w:pPr>
    <w:rPr>
      <w:rFonts w:ascii="Times New Roman" w:hAnsi="Times New Roman"/>
      <w:sz w:val="24"/>
    </w:rPr>
  </w:style>
  <w:style w:type="paragraph" w:styleId="Paragrafoelenco">
    <w:name w:val="List Paragraph"/>
    <w:basedOn w:val="Normale"/>
    <w:qFormat/>
    <w:pPr>
      <w:ind w:left="720"/>
      <w:contextualSpacing/>
    </w:pPr>
  </w:style>
  <w:style w:type="paragraph" w:styleId="Intestazione">
    <w:name w:val="header"/>
    <w:basedOn w:val="Normale"/>
    <w:pPr>
      <w:spacing w:line="240" w:lineRule="auto"/>
    </w:pPr>
  </w:style>
  <w:style w:type="paragraph" w:styleId="Testonotaapidipagina">
    <w:name w:val="footnote text"/>
    <w:basedOn w:val="Normale"/>
    <w:pPr>
      <w:spacing w:line="240" w:lineRule="auto"/>
    </w:pPr>
    <w:rPr>
      <w:sz w:val="20"/>
      <w:szCs w:val="20"/>
    </w:rPr>
  </w:style>
  <w:style w:type="paragraph" w:customStyle="1" w:styleId="Testocommento1">
    <w:name w:val="Testo commento1"/>
    <w:basedOn w:val="Normale"/>
    <w:pPr>
      <w:spacing w:line="240" w:lineRule="auto"/>
    </w:pPr>
    <w:rPr>
      <w:sz w:val="20"/>
      <w:szCs w:val="20"/>
    </w:rPr>
  </w:style>
  <w:style w:type="paragraph" w:styleId="Soggettocommento">
    <w:name w:val="annotation subject"/>
    <w:basedOn w:val="Testocommento1"/>
    <w:next w:val="Testocommento1"/>
    <w:rPr>
      <w:b/>
      <w:bCs/>
    </w:rPr>
  </w:style>
  <w:style w:type="paragraph" w:styleId="Testofumetto">
    <w:name w:val="Balloon Text"/>
    <w:basedOn w:val="Normale"/>
    <w:pPr>
      <w:spacing w:line="240" w:lineRule="auto"/>
    </w:pPr>
    <w:rPr>
      <w:rFonts w:ascii="Segoe UI" w:hAnsi="Segoe UI" w:cs="Segoe UI"/>
      <w:sz w:val="18"/>
      <w:szCs w:val="18"/>
    </w:rPr>
  </w:style>
  <w:style w:type="paragraph" w:styleId="Pidipagina">
    <w:name w:val="footer"/>
    <w:basedOn w:val="Normale"/>
    <w:pPr>
      <w:spacing w:line="240" w:lineRule="auto"/>
    </w:pPr>
  </w:style>
  <w:style w:type="paragraph" w:styleId="Revisione">
    <w:name w:val="Revision"/>
    <w:rsid w:val="00ED1439"/>
    <w:pPr>
      <w:suppressAutoHyphens/>
    </w:pPr>
    <w:rPr>
      <w:rFonts w:ascii="Calibri" w:eastAsia="Calibri" w:hAnsi="Calibri"/>
      <w:sz w:val="22"/>
      <w:szCs w:val="22"/>
      <w:lang w:val="en-US" w:eastAsia="zh-CN"/>
    </w:rPr>
  </w:style>
  <w:style w:type="paragraph" w:customStyle="1" w:styleId="Default">
    <w:name w:val="Default"/>
    <w:rsid w:val="00ED1439"/>
    <w:pPr>
      <w:suppressAutoHyphens/>
      <w:autoSpaceDE w:val="0"/>
    </w:pPr>
    <w:rPr>
      <w:rFonts w:eastAsia="Calibri"/>
      <w:color w:val="000000"/>
      <w:sz w:val="24"/>
      <w:szCs w:val="24"/>
      <w:lang w:val="en-US" w:eastAsia="zh-CN"/>
    </w:rPr>
  </w:style>
  <w:style w:type="paragraph" w:customStyle="1" w:styleId="Normale1">
    <w:name w:val="Normale1"/>
    <w:rsid w:val="00ED1439"/>
    <w:pPr>
      <w:suppressAutoHyphens/>
      <w:spacing w:line="276" w:lineRule="auto"/>
    </w:pPr>
    <w:rPr>
      <w:rFonts w:ascii="Arial" w:eastAsia="Arial" w:hAnsi="Arial" w:cs="Arial"/>
      <w:color w:val="000000"/>
      <w:kern w:val="2"/>
      <w:sz w:val="22"/>
      <w:szCs w:val="24"/>
      <w:lang w:val="en-US" w:eastAsia="ja-JP"/>
    </w:rPr>
  </w:style>
  <w:style w:type="paragraph" w:styleId="NormaleWeb">
    <w:name w:val="Normal (Web)"/>
    <w:basedOn w:val="Normale"/>
    <w:uiPriority w:val="99"/>
    <w:pPr>
      <w:spacing w:before="280" w:after="280" w:line="240" w:lineRule="auto"/>
      <w:ind w:firstLine="0"/>
    </w:pPr>
    <w:rPr>
      <w:rFonts w:ascii="Times New Roman" w:eastAsia="Times New Roman" w:hAnsi="Times New Roman"/>
      <w:sz w:val="24"/>
      <w:szCs w:val="24"/>
    </w:rPr>
  </w:style>
  <w:style w:type="paragraph" w:customStyle="1" w:styleId="TableContents">
    <w:name w:val="Table Contents"/>
    <w:basedOn w:val="Normale"/>
    <w:pPr>
      <w:suppressLineNumbers/>
    </w:pPr>
  </w:style>
  <w:style w:type="paragraph" w:customStyle="1" w:styleId="TableHeading">
    <w:name w:val="Table Heading"/>
    <w:basedOn w:val="TableContents"/>
    <w:pPr>
      <w:jc w:val="center"/>
    </w:pPr>
    <w:rPr>
      <w:b/>
      <w:bCs/>
    </w:rPr>
  </w:style>
  <w:style w:type="character" w:styleId="Rimandocommento">
    <w:name w:val="annotation reference"/>
    <w:uiPriority w:val="99"/>
    <w:semiHidden/>
    <w:unhideWhenUsed/>
    <w:rsid w:val="00296665"/>
    <w:rPr>
      <w:sz w:val="16"/>
      <w:szCs w:val="16"/>
    </w:rPr>
  </w:style>
  <w:style w:type="paragraph" w:styleId="Testocommento">
    <w:name w:val="annotation text"/>
    <w:basedOn w:val="Normale"/>
    <w:link w:val="TestocommentoCarattere1"/>
    <w:uiPriority w:val="99"/>
    <w:semiHidden/>
    <w:unhideWhenUsed/>
    <w:rsid w:val="00296665"/>
    <w:rPr>
      <w:sz w:val="20"/>
      <w:szCs w:val="20"/>
    </w:rPr>
  </w:style>
  <w:style w:type="character" w:customStyle="1" w:styleId="TestocommentoCarattere1">
    <w:name w:val="Testo commento Carattere1"/>
    <w:link w:val="Testocommento"/>
    <w:uiPriority w:val="99"/>
    <w:semiHidden/>
    <w:rsid w:val="00296665"/>
    <w:rPr>
      <w:rFonts w:ascii="Calibri" w:eastAsia="Calibri" w:hAnsi="Calibri"/>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61588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02/per.2128" TargetMode="External"/><Relationship Id="rId18" Type="http://schemas.openxmlformats.org/officeDocument/2006/relationships/hyperlink" Target="https://doi.org/10.1016/j.jrp.2010.06.005"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R-project.org/"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oi.org/10.1016/j.jrp.2014.07.004" TargetMode="External"/><Relationship Id="rId17" Type="http://schemas.openxmlformats.org/officeDocument/2006/relationships/hyperlink" Target="https://doi.org/10.1111/spc3.12200" TargetMode="External"/><Relationship Id="rId25" Type="http://schemas.openxmlformats.org/officeDocument/2006/relationships/header" Target="header1.xml"/><Relationship Id="rId33"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hyperlink" Target="https://doi.org/10.3758/s13415-017-0529-5" TargetMode="External"/><Relationship Id="rId20" Type="http://schemas.openxmlformats.org/officeDocument/2006/relationships/hyperlink" Target="https://doi.org/10.1037/a0014996" TargetMode="Externa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7/s11023-008-9122-6" TargetMode="External"/><Relationship Id="rId24" Type="http://schemas.openxmlformats.org/officeDocument/2006/relationships/hyperlink" Target="https://doi.org/10.1037/0022-3514.77.6.1271" TargetMode="External"/><Relationship Id="rId32"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hyperlink" Target="https://doi.org/10.1177/0963721414541462" TargetMode="External"/><Relationship Id="rId23" Type="http://schemas.openxmlformats.org/officeDocument/2006/relationships/hyperlink" Target="https://doi.org/10.1037/0022-3514.66.4.742" TargetMode="External"/><Relationship Id="rId28" Type="http://schemas.openxmlformats.org/officeDocument/2006/relationships/header" Target="header3.xml"/><Relationship Id="rId10" Type="http://schemas.openxmlformats.org/officeDocument/2006/relationships/hyperlink" Target="https://doi.org/10.1002/per.2115" TargetMode="External"/><Relationship Id="rId19" Type="http://schemas.openxmlformats.org/officeDocument/2006/relationships/hyperlink" Target="https://doi.org/10.4135/9781849200462.n13" TargetMode="External"/><Relationship Id="rId31"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yperlink" Target="http://www.qualtrics.com/" TargetMode="External"/><Relationship Id="rId14" Type="http://schemas.openxmlformats.org/officeDocument/2006/relationships/hyperlink" Target="https://doi.org/10.1177/1745691615623247" TargetMode="External"/><Relationship Id="rId22" Type="http://schemas.openxmlformats.org/officeDocument/2006/relationships/hyperlink" Target="https://doi.org/10.1002/per.2128" TargetMode="External"/><Relationship Id="rId27" Type="http://schemas.openxmlformats.org/officeDocument/2006/relationships/header" Target="header2.xml"/><Relationship Id="rId30" Type="http://schemas.openxmlformats.org/officeDocument/2006/relationships/header" Target="header5.xml"/><Relationship Id="rId35" Type="http://schemas.openxmlformats.org/officeDocument/2006/relationships/theme" Target="theme/theme1.xml"/><Relationship Id="rId8" Type="http://schemas.openxmlformats.org/officeDocument/2006/relationships/hyperlink" Target="mailto:giulio.costantini@unimib.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EAD529-AEA2-4CCA-BDBB-3401BD689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47</Pages>
  <Words>14216</Words>
  <Characters>81033</Characters>
  <Application>Microsoft Office Word</Application>
  <DocSecurity>0</DocSecurity>
  <Lines>675</Lines>
  <Paragraphs>190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95059</CharactersWithSpaces>
  <SharedDoc>false</SharedDoc>
  <HLinks>
    <vt:vector size="108" baseType="variant">
      <vt:variant>
        <vt:i4>3735670</vt:i4>
      </vt:variant>
      <vt:variant>
        <vt:i4>54</vt:i4>
      </vt:variant>
      <vt:variant>
        <vt:i4>0</vt:i4>
      </vt:variant>
      <vt:variant>
        <vt:i4>5</vt:i4>
      </vt:variant>
      <vt:variant>
        <vt:lpwstr>https://doi.org/10.1037/0022-3514.77.6.1271</vt:lpwstr>
      </vt:variant>
      <vt:variant>
        <vt:lpwstr/>
      </vt:variant>
      <vt:variant>
        <vt:i4>3735665</vt:i4>
      </vt:variant>
      <vt:variant>
        <vt:i4>51</vt:i4>
      </vt:variant>
      <vt:variant>
        <vt:i4>0</vt:i4>
      </vt:variant>
      <vt:variant>
        <vt:i4>5</vt:i4>
      </vt:variant>
      <vt:variant>
        <vt:lpwstr>https://doi.org/10.1037/0022-3514.66.4.742</vt:lpwstr>
      </vt:variant>
      <vt:variant>
        <vt:lpwstr/>
      </vt:variant>
      <vt:variant>
        <vt:i4>2883643</vt:i4>
      </vt:variant>
      <vt:variant>
        <vt:i4>48</vt:i4>
      </vt:variant>
      <vt:variant>
        <vt:i4>0</vt:i4>
      </vt:variant>
      <vt:variant>
        <vt:i4>5</vt:i4>
      </vt:variant>
      <vt:variant>
        <vt:lpwstr>https://doi.org/10.1016/j.newideapsych.2011.02.007</vt:lpwstr>
      </vt:variant>
      <vt:variant>
        <vt:lpwstr/>
      </vt:variant>
      <vt:variant>
        <vt:i4>5308506</vt:i4>
      </vt:variant>
      <vt:variant>
        <vt:i4>45</vt:i4>
      </vt:variant>
      <vt:variant>
        <vt:i4>0</vt:i4>
      </vt:variant>
      <vt:variant>
        <vt:i4>5</vt:i4>
      </vt:variant>
      <vt:variant>
        <vt:lpwstr>https://doi.org/10.1002/per.2128</vt:lpwstr>
      </vt:variant>
      <vt:variant>
        <vt:lpwstr/>
      </vt:variant>
      <vt:variant>
        <vt:i4>7143476</vt:i4>
      </vt:variant>
      <vt:variant>
        <vt:i4>42</vt:i4>
      </vt:variant>
      <vt:variant>
        <vt:i4>0</vt:i4>
      </vt:variant>
      <vt:variant>
        <vt:i4>5</vt:i4>
      </vt:variant>
      <vt:variant>
        <vt:lpwstr>https://www.r-project.org/</vt:lpwstr>
      </vt:variant>
      <vt:variant>
        <vt:lpwstr/>
      </vt:variant>
      <vt:variant>
        <vt:i4>1966081</vt:i4>
      </vt:variant>
      <vt:variant>
        <vt:i4>39</vt:i4>
      </vt:variant>
      <vt:variant>
        <vt:i4>0</vt:i4>
      </vt:variant>
      <vt:variant>
        <vt:i4>5</vt:i4>
      </vt:variant>
      <vt:variant>
        <vt:lpwstr>https://doi.org/10.1037/a0014996</vt:lpwstr>
      </vt:variant>
      <vt:variant>
        <vt:lpwstr/>
      </vt:variant>
      <vt:variant>
        <vt:i4>786438</vt:i4>
      </vt:variant>
      <vt:variant>
        <vt:i4>36</vt:i4>
      </vt:variant>
      <vt:variant>
        <vt:i4>0</vt:i4>
      </vt:variant>
      <vt:variant>
        <vt:i4>5</vt:i4>
      </vt:variant>
      <vt:variant>
        <vt:lpwstr>https://doi.org/10.4135/9781849200462.n13</vt:lpwstr>
      </vt:variant>
      <vt:variant>
        <vt:lpwstr/>
      </vt:variant>
      <vt:variant>
        <vt:i4>5111815</vt:i4>
      </vt:variant>
      <vt:variant>
        <vt:i4>33</vt:i4>
      </vt:variant>
      <vt:variant>
        <vt:i4>0</vt:i4>
      </vt:variant>
      <vt:variant>
        <vt:i4>5</vt:i4>
      </vt:variant>
      <vt:variant>
        <vt:lpwstr>https://doi.org/10.1016/j.jrp.2010.06.005</vt:lpwstr>
      </vt:variant>
      <vt:variant>
        <vt:lpwstr/>
      </vt:variant>
      <vt:variant>
        <vt:i4>6422630</vt:i4>
      </vt:variant>
      <vt:variant>
        <vt:i4>30</vt:i4>
      </vt:variant>
      <vt:variant>
        <vt:i4>0</vt:i4>
      </vt:variant>
      <vt:variant>
        <vt:i4>5</vt:i4>
      </vt:variant>
      <vt:variant>
        <vt:lpwstr>https://doi.org/10.1111/spc3.12200</vt:lpwstr>
      </vt:variant>
      <vt:variant>
        <vt:lpwstr/>
      </vt:variant>
      <vt:variant>
        <vt:i4>786457</vt:i4>
      </vt:variant>
      <vt:variant>
        <vt:i4>27</vt:i4>
      </vt:variant>
      <vt:variant>
        <vt:i4>0</vt:i4>
      </vt:variant>
      <vt:variant>
        <vt:i4>5</vt:i4>
      </vt:variant>
      <vt:variant>
        <vt:lpwstr>https://doi.org/10.3758/s13415-017-0529-5</vt:lpwstr>
      </vt:variant>
      <vt:variant>
        <vt:lpwstr/>
      </vt:variant>
      <vt:variant>
        <vt:i4>1966175</vt:i4>
      </vt:variant>
      <vt:variant>
        <vt:i4>24</vt:i4>
      </vt:variant>
      <vt:variant>
        <vt:i4>0</vt:i4>
      </vt:variant>
      <vt:variant>
        <vt:i4>5</vt:i4>
      </vt:variant>
      <vt:variant>
        <vt:lpwstr>https://doi.org/10.1177/0963721414541462</vt:lpwstr>
      </vt:variant>
      <vt:variant>
        <vt:lpwstr/>
      </vt:variant>
      <vt:variant>
        <vt:i4>1769566</vt:i4>
      </vt:variant>
      <vt:variant>
        <vt:i4>21</vt:i4>
      </vt:variant>
      <vt:variant>
        <vt:i4>0</vt:i4>
      </vt:variant>
      <vt:variant>
        <vt:i4>5</vt:i4>
      </vt:variant>
      <vt:variant>
        <vt:lpwstr>https://doi.org/10.1177/1745691615623247</vt:lpwstr>
      </vt:variant>
      <vt:variant>
        <vt:lpwstr/>
      </vt:variant>
      <vt:variant>
        <vt:i4>5308506</vt:i4>
      </vt:variant>
      <vt:variant>
        <vt:i4>18</vt:i4>
      </vt:variant>
      <vt:variant>
        <vt:i4>0</vt:i4>
      </vt:variant>
      <vt:variant>
        <vt:i4>5</vt:i4>
      </vt:variant>
      <vt:variant>
        <vt:lpwstr>https://doi.org/10.1002/per.2128</vt:lpwstr>
      </vt:variant>
      <vt:variant>
        <vt:lpwstr/>
      </vt:variant>
      <vt:variant>
        <vt:i4>4849670</vt:i4>
      </vt:variant>
      <vt:variant>
        <vt:i4>15</vt:i4>
      </vt:variant>
      <vt:variant>
        <vt:i4>0</vt:i4>
      </vt:variant>
      <vt:variant>
        <vt:i4>5</vt:i4>
      </vt:variant>
      <vt:variant>
        <vt:lpwstr>https://doi.org/10.1016/j.jrp.2014.07.004</vt:lpwstr>
      </vt:variant>
      <vt:variant>
        <vt:lpwstr/>
      </vt:variant>
      <vt:variant>
        <vt:i4>983070</vt:i4>
      </vt:variant>
      <vt:variant>
        <vt:i4>12</vt:i4>
      </vt:variant>
      <vt:variant>
        <vt:i4>0</vt:i4>
      </vt:variant>
      <vt:variant>
        <vt:i4>5</vt:i4>
      </vt:variant>
      <vt:variant>
        <vt:lpwstr>https://doi.org/10.1007/s11023-008-9122-6</vt:lpwstr>
      </vt:variant>
      <vt:variant>
        <vt:lpwstr/>
      </vt:variant>
      <vt:variant>
        <vt:i4>6029401</vt:i4>
      </vt:variant>
      <vt:variant>
        <vt:i4>9</vt:i4>
      </vt:variant>
      <vt:variant>
        <vt:i4>0</vt:i4>
      </vt:variant>
      <vt:variant>
        <vt:i4>5</vt:i4>
      </vt:variant>
      <vt:variant>
        <vt:lpwstr>https://doi.org/10.1002/per.2115</vt:lpwstr>
      </vt:variant>
      <vt:variant>
        <vt:lpwstr/>
      </vt:variant>
      <vt:variant>
        <vt:i4>5963801</vt:i4>
      </vt:variant>
      <vt:variant>
        <vt:i4>3</vt:i4>
      </vt:variant>
      <vt:variant>
        <vt:i4>0</vt:i4>
      </vt:variant>
      <vt:variant>
        <vt:i4>5</vt:i4>
      </vt:variant>
      <vt:variant>
        <vt:lpwstr>http://www.qualtrics.com/</vt:lpwstr>
      </vt:variant>
      <vt:variant>
        <vt:lpwstr/>
      </vt:variant>
      <vt:variant>
        <vt:i4>7143427</vt:i4>
      </vt:variant>
      <vt:variant>
        <vt:i4>0</vt:i4>
      </vt:variant>
      <vt:variant>
        <vt:i4>0</vt:i4>
      </vt:variant>
      <vt:variant>
        <vt:i4>5</vt:i4>
      </vt:variant>
      <vt:variant>
        <vt:lpwstr>mailto:giulio.costantini@unimib.it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Giulio Costantini</dc:creator>
  <cp:keywords/>
  <cp:lastModifiedBy>Giulio Costantini</cp:lastModifiedBy>
  <cp:revision>6</cp:revision>
  <cp:lastPrinted>1899-12-31T23:00:00Z</cp:lastPrinted>
  <dcterms:created xsi:type="dcterms:W3CDTF">2018-03-12T10:44:00Z</dcterms:created>
  <dcterms:modified xsi:type="dcterms:W3CDTF">2018-05-09T13:27:00Z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http://www.zotero.org/styles/apa</vt:lpwstr>
  </property>
  <property fmtid="{D5CDD505-2E9C-101B-9397-08002B2CF9AE}" pid="3" name="Mendeley Document_1">
    <vt:lpwstr>True</vt:lpwstr>
  </property>
  <property fmtid="{D5CDD505-2E9C-101B-9397-08002B2CF9AE}" pid="4" name="Mendeley Recent Style Id 0_1">
    <vt:lpwstr>http://www.zotero.org/styles/american-political-science-association</vt:lpwstr>
  </property>
  <property fmtid="{D5CDD505-2E9C-101B-9397-08002B2CF9AE}" pid="5" name="Mendeley Recent Style Id 1_1">
    <vt:lpwstr>http://www.zotero.org/styles/apa</vt:lpwstr>
  </property>
  <property fmtid="{D5CDD505-2E9C-101B-9397-08002B2CF9AE}" pid="6" name="Mendeley Recent Style Id 2_1">
    <vt:lpwstr>http://www.zotero.org/styles/american-sociological-association</vt:lpwstr>
  </property>
  <property fmtid="{D5CDD505-2E9C-101B-9397-08002B2CF9AE}" pid="7" name="Mendeley Recent Style Id 3_1">
    <vt:lpwstr>http://www.zotero.org/styles/chicago-author-date</vt:lpwstr>
  </property>
  <property fmtid="{D5CDD505-2E9C-101B-9397-08002B2CF9AE}" pid="8" name="Mendeley Recent Style Id 4_1">
    <vt:lpwstr>http://www.zotero.org/styles/harvard-cite-them-right</vt:lpwstr>
  </property>
  <property fmtid="{D5CDD505-2E9C-101B-9397-08002B2CF9AE}" pid="9" name="Mendeley Recent Style Id 5_1">
    <vt:lpwstr>http://www.zotero.org/styles/ieee</vt:lpwstr>
  </property>
  <property fmtid="{D5CDD505-2E9C-101B-9397-08002B2CF9AE}" pid="10" name="Mendeley Recent Style Id 6_1">
    <vt:lpwstr>http://www.zotero.org/styles/modern-humanities-research-association</vt:lpwstr>
  </property>
  <property fmtid="{D5CDD505-2E9C-101B-9397-08002B2CF9AE}" pid="11" name="Mendeley Recent Style Id 7_1">
    <vt:lpwstr>http://www.zotero.org/styles/modern-language-association</vt:lpwstr>
  </property>
  <property fmtid="{D5CDD505-2E9C-101B-9397-08002B2CF9AE}" pid="12" name="Mendeley Recent Style Id 8_1">
    <vt:lpwstr>http://www.zotero.org/styles/nature</vt:lpwstr>
  </property>
  <property fmtid="{D5CDD505-2E9C-101B-9397-08002B2CF9AE}" pid="13" name="Mendeley Recent Style Id 9_1">
    <vt:lpwstr>http://www.zotero.org/styles/personality-and-individual-differences</vt:lpwstr>
  </property>
  <property fmtid="{D5CDD505-2E9C-101B-9397-08002B2CF9AE}" pid="14" name="Mendeley Recent Style Name 0_1">
    <vt:lpwstr>American Political Science Association</vt:lpwstr>
  </property>
  <property fmtid="{D5CDD505-2E9C-101B-9397-08002B2CF9AE}" pid="15" name="Mendeley Recent Style Name 1_1">
    <vt:lpwstr>American Psychological Association 6th edition</vt:lpwstr>
  </property>
  <property fmtid="{D5CDD505-2E9C-101B-9397-08002B2CF9AE}" pid="16" name="Mendeley Recent Style Name 2_1">
    <vt:lpwstr>American Sociological Association</vt:lpwstr>
  </property>
  <property fmtid="{D5CDD505-2E9C-101B-9397-08002B2CF9AE}" pid="17" name="Mendeley Recent Style Name 3_1">
    <vt:lpwstr>Chicago Manual of Style 17th edition (author-date)</vt:lpwstr>
  </property>
  <property fmtid="{D5CDD505-2E9C-101B-9397-08002B2CF9AE}" pid="18" name="Mendeley Recent Style Name 4_1">
    <vt:lpwstr>Cite Them Right 10th edition - Harvard</vt:lpwstr>
  </property>
  <property fmtid="{D5CDD505-2E9C-101B-9397-08002B2CF9AE}" pid="19" name="Mendeley Recent Style Name 5_1">
    <vt:lpwstr>IEEE</vt:lpwstr>
  </property>
  <property fmtid="{D5CDD505-2E9C-101B-9397-08002B2CF9AE}" pid="20" name="Mendeley Recent Style Name 6_1">
    <vt:lpwstr>Modern Humanities Research Association 3rd edition (note with bibliography)</vt:lpwstr>
  </property>
  <property fmtid="{D5CDD505-2E9C-101B-9397-08002B2CF9AE}" pid="21" name="Mendeley Recent Style Name 7_1">
    <vt:lpwstr>Modern Language Association 8th edition</vt:lpwstr>
  </property>
  <property fmtid="{D5CDD505-2E9C-101B-9397-08002B2CF9AE}" pid="22" name="Mendeley Recent Style Name 8_1">
    <vt:lpwstr>Nature</vt:lpwstr>
  </property>
  <property fmtid="{D5CDD505-2E9C-101B-9397-08002B2CF9AE}" pid="23" name="Mendeley Recent Style Name 9_1">
    <vt:lpwstr>Personality and Individual Differences</vt:lpwstr>
  </property>
  <property fmtid="{D5CDD505-2E9C-101B-9397-08002B2CF9AE}" pid="24" name="Mendeley Unique User Id_1">
    <vt:lpwstr>b8ce6c7b-9d92-353c-ab8b-54b9710a142a</vt:lpwstr>
  </property>
  <property fmtid="{D5CDD505-2E9C-101B-9397-08002B2CF9AE}" pid="25" name="__Grammarly_42___1">
    <vt:lpwstr>__Grammarly_42___1</vt:lpwstr>
  </property>
  <property fmtid="{D5CDD505-2E9C-101B-9397-08002B2CF9AE}" pid="26" name="__Grammarly_42____i">
    <vt:lpwstr>__Grammarly_42____i</vt:lpwstr>
  </property>
</Properties>
</file>