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8C613C" w:rsidRPr="004D7EBC" w:rsidRDefault="004D7EBC">
      <w:pPr>
        <w:pStyle w:val="Titolo2"/>
        <w:rPr>
          <w:lang w:val="en-US"/>
        </w:rPr>
      </w:pPr>
      <w:bookmarkStart w:id="0" w:name="_gjdgxs" w:colFirst="0" w:colLast="0"/>
      <w:bookmarkStart w:id="1" w:name="_GoBack"/>
      <w:bookmarkEnd w:id="0"/>
      <w:bookmarkEnd w:id="1"/>
      <w:r w:rsidRPr="004D7EBC">
        <w:rPr>
          <w:lang w:val="en-US"/>
        </w:rPr>
        <w:t>The countercyclical role of Italian local banks during the financial crisis</w:t>
      </w:r>
    </w:p>
    <w:p w:rsidR="008C613C" w:rsidRPr="004D7EBC" w:rsidRDefault="008C613C">
      <w:pPr>
        <w:rPr>
          <w:lang w:val="en-US"/>
        </w:rPr>
      </w:pPr>
    </w:p>
    <w:p w:rsidR="008C613C" w:rsidRPr="004D7EBC" w:rsidRDefault="004D7EBC">
      <w:pPr>
        <w:rPr>
          <w:lang w:val="en-US"/>
        </w:rPr>
      </w:pPr>
      <w:r w:rsidRPr="004D7EBC">
        <w:rPr>
          <w:lang w:val="en-US"/>
        </w:rPr>
        <w:t xml:space="preserve">Authors: Dorel N </w:t>
      </w:r>
      <w:proofErr w:type="spellStart"/>
      <w:r w:rsidRPr="004D7EBC">
        <w:rPr>
          <w:lang w:val="en-US"/>
        </w:rPr>
        <w:t>Manitiu</w:t>
      </w:r>
      <w:proofErr w:type="spellEnd"/>
      <w:r w:rsidRPr="004D7EBC">
        <w:rPr>
          <w:lang w:val="en-US"/>
        </w:rPr>
        <w:t xml:space="preserve"> and Giulio </w:t>
      </w:r>
      <w:proofErr w:type="spellStart"/>
      <w:r w:rsidRPr="004D7EBC">
        <w:rPr>
          <w:smallCaps/>
          <w:lang w:val="en-US"/>
        </w:rPr>
        <w:t>P</w:t>
      </w:r>
      <w:r w:rsidRPr="004D7EBC">
        <w:rPr>
          <w:lang w:val="en-US"/>
        </w:rPr>
        <w:t>edrini</w:t>
      </w:r>
      <w:proofErr w:type="spellEnd"/>
    </w:p>
    <w:p w:rsidR="008C613C" w:rsidRPr="004D7EBC" w:rsidRDefault="008C613C">
      <w:pPr>
        <w:jc w:val="right"/>
        <w:rPr>
          <w:lang w:val="en-US"/>
        </w:rPr>
      </w:pPr>
    </w:p>
    <w:p w:rsidR="008C613C" w:rsidRDefault="004D7EBC">
      <w:pPr>
        <w:jc w:val="right"/>
      </w:pPr>
      <w:proofErr w:type="spellStart"/>
      <w:r>
        <w:rPr>
          <w:b/>
        </w:rPr>
        <w:t>Dorel</w:t>
      </w:r>
      <w:proofErr w:type="spellEnd"/>
      <w:r>
        <w:rPr>
          <w:b/>
        </w:rPr>
        <w:t xml:space="preserve"> N </w:t>
      </w:r>
      <w:proofErr w:type="spellStart"/>
      <w:r>
        <w:rPr>
          <w:b/>
        </w:rPr>
        <w:t>Manitiu</w:t>
      </w:r>
      <w:proofErr w:type="spellEnd"/>
    </w:p>
    <w:p w:rsidR="008C613C" w:rsidRDefault="004D7EBC">
      <w:pPr>
        <w:jc w:val="right"/>
      </w:pPr>
      <w:r>
        <w:t>Alma-Laurea Inter-</w:t>
      </w:r>
      <w:proofErr w:type="spellStart"/>
      <w:r>
        <w:t>University</w:t>
      </w:r>
      <w:proofErr w:type="spellEnd"/>
      <w:r>
        <w:t xml:space="preserve"> </w:t>
      </w:r>
      <w:proofErr w:type="spellStart"/>
      <w:r>
        <w:t>consortium</w:t>
      </w:r>
      <w:proofErr w:type="spellEnd"/>
      <w:r>
        <w:t>;</w:t>
      </w:r>
    </w:p>
    <w:p w:rsidR="008C613C" w:rsidRPr="004D7EBC" w:rsidRDefault="004D7EBC">
      <w:pPr>
        <w:jc w:val="right"/>
        <w:rPr>
          <w:lang w:val="en-US"/>
        </w:rPr>
      </w:pPr>
      <w:r w:rsidRPr="004D7EBC">
        <w:rPr>
          <w:lang w:val="en-US"/>
        </w:rPr>
        <w:t xml:space="preserve">SDIC-School of Development Innovation and Change </w:t>
      </w:r>
    </w:p>
    <w:p w:rsidR="008C613C" w:rsidRPr="004D7EBC" w:rsidRDefault="008C613C">
      <w:pPr>
        <w:ind w:left="7788"/>
        <w:jc w:val="right"/>
        <w:rPr>
          <w:lang w:val="en-US"/>
        </w:rPr>
      </w:pPr>
    </w:p>
    <w:p w:rsidR="008C613C" w:rsidRPr="004D7EBC" w:rsidRDefault="004D7EBC">
      <w:pPr>
        <w:ind w:left="7788"/>
        <w:jc w:val="right"/>
        <w:rPr>
          <w:lang w:val="en-US"/>
        </w:rPr>
      </w:pPr>
      <w:r w:rsidRPr="004D7EBC">
        <w:rPr>
          <w:b/>
          <w:lang w:val="en-US"/>
        </w:rPr>
        <w:t xml:space="preserve">Giulio </w:t>
      </w:r>
      <w:proofErr w:type="spellStart"/>
      <w:r w:rsidRPr="004D7EBC">
        <w:rPr>
          <w:b/>
          <w:lang w:val="en-US"/>
        </w:rPr>
        <w:t>Pedrini</w:t>
      </w:r>
      <w:proofErr w:type="spellEnd"/>
    </w:p>
    <w:p w:rsidR="008C613C" w:rsidRPr="004D7EBC" w:rsidRDefault="004D7EBC">
      <w:pPr>
        <w:jc w:val="right"/>
        <w:rPr>
          <w:lang w:val="en-US"/>
        </w:rPr>
      </w:pPr>
      <w:r w:rsidRPr="004D7EBC">
        <w:rPr>
          <w:lang w:val="en-US"/>
        </w:rPr>
        <w:t xml:space="preserve"> CRISP- Interuniversity Research Center for Public Services; </w:t>
      </w:r>
    </w:p>
    <w:p w:rsidR="008C613C" w:rsidRPr="004D7EBC" w:rsidRDefault="004D7EBC">
      <w:pPr>
        <w:jc w:val="right"/>
        <w:rPr>
          <w:lang w:val="en-US"/>
        </w:rPr>
      </w:pPr>
      <w:r w:rsidRPr="004D7EBC">
        <w:rPr>
          <w:lang w:val="en-US"/>
        </w:rPr>
        <w:t xml:space="preserve">SDIC-School of Development Innovation and Change; </w:t>
      </w:r>
    </w:p>
    <w:p w:rsidR="008C613C" w:rsidRDefault="004D7EBC">
      <w:pPr>
        <w:jc w:val="right"/>
      </w:pPr>
      <w:r>
        <w:t xml:space="preserve">. </w:t>
      </w:r>
    </w:p>
    <w:p w:rsidR="008C613C" w:rsidRDefault="008C613C">
      <w:pPr>
        <w:jc w:val="right"/>
      </w:pPr>
    </w:p>
    <w:p w:rsidR="008C613C" w:rsidRDefault="004D7EBC">
      <w:pPr>
        <w:jc w:val="right"/>
      </w:pPr>
      <w:proofErr w:type="spellStart"/>
      <w:r>
        <w:rPr>
          <w:b/>
        </w:rPr>
        <w:t>Corresponding</w:t>
      </w:r>
      <w:proofErr w:type="spellEnd"/>
      <w:r>
        <w:rPr>
          <w:b/>
        </w:rPr>
        <w:t xml:space="preserve"> </w:t>
      </w:r>
      <w:proofErr w:type="spellStart"/>
      <w:r>
        <w:rPr>
          <w:b/>
        </w:rPr>
        <w:t>author</w:t>
      </w:r>
      <w:proofErr w:type="spellEnd"/>
      <w:r>
        <w:rPr>
          <w:b/>
        </w:rPr>
        <w:t>:</w:t>
      </w:r>
    </w:p>
    <w:p w:rsidR="008C613C" w:rsidRDefault="004D7EBC">
      <w:pPr>
        <w:jc w:val="right"/>
      </w:pPr>
      <w:r>
        <w:t xml:space="preserve">Giulio </w:t>
      </w:r>
      <w:proofErr w:type="spellStart"/>
      <w:r>
        <w:t>Pedrini</w:t>
      </w:r>
      <w:proofErr w:type="spellEnd"/>
      <w:r>
        <w:t xml:space="preserve">, </w:t>
      </w:r>
      <w:proofErr w:type="spellStart"/>
      <w:r>
        <w:t>University</w:t>
      </w:r>
      <w:proofErr w:type="spellEnd"/>
      <w:r>
        <w:t xml:space="preserve"> of Bologna, Strada Maggiore 45, 40125, Bologna. </w:t>
      </w:r>
    </w:p>
    <w:p w:rsidR="008C613C" w:rsidRDefault="004D7EBC">
      <w:pPr>
        <w:pStyle w:val="Titolo2"/>
        <w:jc w:val="right"/>
      </w:pPr>
      <w:r>
        <w:t>E-mail:</w:t>
      </w:r>
      <w:hyperlink r:id="rId8">
        <w:r>
          <w:rPr>
            <w:color w:val="0000FF"/>
            <w:u w:val="single"/>
          </w:rPr>
          <w:t>giulio.pedrini3@unibo.it</w:t>
        </w:r>
      </w:hyperlink>
      <w:hyperlink r:id="rId9"/>
    </w:p>
    <w:p w:rsidR="008C613C" w:rsidRDefault="004D7EBC">
      <w:r>
        <w:br w:type="page"/>
      </w:r>
    </w:p>
    <w:p w:rsidR="008C613C" w:rsidRDefault="00CE10F8">
      <w:hyperlink r:id="rId10"/>
    </w:p>
    <w:p w:rsidR="008C613C" w:rsidRPr="004D7EBC" w:rsidRDefault="004D7EBC">
      <w:pPr>
        <w:pStyle w:val="Titolo3"/>
        <w:ind w:left="720" w:hanging="720"/>
        <w:rPr>
          <w:lang w:val="en-US"/>
        </w:rPr>
      </w:pPr>
      <w:r w:rsidRPr="004D7EBC">
        <w:rPr>
          <w:lang w:val="en-US"/>
        </w:rPr>
        <w:t>1. Introduction</w:t>
      </w:r>
    </w:p>
    <w:p w:rsidR="008C613C" w:rsidRPr="004D7EBC" w:rsidRDefault="004D7EBC">
      <w:pPr>
        <w:rPr>
          <w:lang w:val="en-US"/>
        </w:rPr>
      </w:pPr>
      <w:r w:rsidRPr="004D7EBC">
        <w:rPr>
          <w:lang w:val="en-US"/>
        </w:rPr>
        <w:t xml:space="preserve">The financial crisis has revitalized the role of local banks for their comparative advantage in collecting information from the borrowers. Starting from 2008, many criticisms of their lower degree of efficiency, ascribed to their poorer screening techniques, low skilled management, higher capital costs, and constraints in exploiting economies of scale or scope, have been rethought. Actually, the crisis had a different impact on credit supply according to different categories of banks. Not only have small local banks enjoyed an informational advantage against national banks, they have also faced milder liquidity shocks as they did not rely on international wholesale funding as much as national banks did. In the meanwhile, the main policy documents delivered during the crisis consider the strengthening of information infrastructure as the main antidote to uncontrolled speculation in the financial sector (Financial Service Authority, 2009; European Commission, 2009; Group of Thirty, 2009), and stress the importance of collecting information from borrowers during a period of high uncertainty. The relationship lending model has thus been considered as a tool to mitigate credit rationing and reduce systemic risk while the evolution of the banking system towards a transaction-oriented model has ceased to be a mainstream objective for both policy makers and banking supervisory authorities. </w:t>
      </w:r>
    </w:p>
    <w:p w:rsidR="008C613C" w:rsidRPr="004D7EBC" w:rsidRDefault="004D7EBC">
      <w:pPr>
        <w:rPr>
          <w:lang w:val="en-US"/>
        </w:rPr>
      </w:pPr>
      <w:r w:rsidRPr="004D7EBC">
        <w:rPr>
          <w:lang w:val="en-US"/>
        </w:rPr>
        <w:t xml:space="preserve">The aim of this paper is to tie this evidence to the different characteristics of Italian local banks under a relationship lending framework. Local banks are a heterogeneous group, characterized by different types of entities according to their localization, ownership and governance structure. By comparing the changes in loan stock during 2008-2009 with respect to the years before and after, we test the effects of the crisis on credit supply and disentangle the capability of different types of banks in accomplishing their mitigating role during the financial crisis. We thus contribute to the existing literature by identifying the effects of local banks’ characteristics on lending </w:t>
      </w:r>
      <w:proofErr w:type="spellStart"/>
      <w:r w:rsidRPr="004D7EBC">
        <w:rPr>
          <w:lang w:val="en-US"/>
        </w:rPr>
        <w:t>behaviours</w:t>
      </w:r>
      <w:proofErr w:type="spellEnd"/>
      <w:r w:rsidRPr="004D7EBC">
        <w:rPr>
          <w:lang w:val="en-US"/>
        </w:rPr>
        <w:t xml:space="preserve"> during economic recessions and financial turmoil. In this respect, Italy is a representative country for </w:t>
      </w:r>
      <w:proofErr w:type="spellStart"/>
      <w:r w:rsidRPr="004D7EBC">
        <w:rPr>
          <w:lang w:val="en-US"/>
        </w:rPr>
        <w:t>analysing</w:t>
      </w:r>
      <w:proofErr w:type="spellEnd"/>
      <w:r w:rsidRPr="004D7EBC">
        <w:rPr>
          <w:lang w:val="en-US"/>
        </w:rPr>
        <w:t xml:space="preserve"> the effects of the credit crunch through focusing on local banks.  Like many other countries in Europe and elsewhere, it is characterized by a large number of SMEs that are strongly dependent on loans from local banks to finance their business activity. Accordingly, firms usually maintain a long lasting soft information-based relationship with a small number of banks and face a lower probability of being rationed. Even before the crisis local banks were still able to enjoy these </w:t>
      </w:r>
      <w:r w:rsidRPr="004D7EBC">
        <w:rPr>
          <w:lang w:val="en-US"/>
        </w:rPr>
        <w:lastRenderedPageBreak/>
        <w:t>advantages and efficiently allocate financial resources thanks to their mix of characteristics (</w:t>
      </w:r>
      <w:proofErr w:type="spellStart"/>
      <w:r w:rsidRPr="004D7EBC">
        <w:rPr>
          <w:lang w:val="en-US"/>
        </w:rPr>
        <w:t>Howorth</w:t>
      </w:r>
      <w:proofErr w:type="spellEnd"/>
      <w:r w:rsidRPr="004D7EBC">
        <w:rPr>
          <w:lang w:val="en-US"/>
        </w:rPr>
        <w:t xml:space="preserve"> and Moro, 2006), although they were no longer seen as the best intermediary for supporting small businesses in their international growth while their capabilities of </w:t>
      </w:r>
      <w:proofErr w:type="spellStart"/>
      <w:r w:rsidRPr="004D7EBC">
        <w:rPr>
          <w:lang w:val="en-US"/>
        </w:rPr>
        <w:t>analysing</w:t>
      </w:r>
      <w:proofErr w:type="spellEnd"/>
      <w:r w:rsidRPr="004D7EBC">
        <w:rPr>
          <w:lang w:val="en-US"/>
        </w:rPr>
        <w:t xml:space="preserve"> start-ups’ credit merit were deemed to be poor (De </w:t>
      </w:r>
      <w:proofErr w:type="spellStart"/>
      <w:r w:rsidRPr="004D7EBC">
        <w:rPr>
          <w:lang w:val="en-US"/>
        </w:rPr>
        <w:t>Bonis</w:t>
      </w:r>
      <w:proofErr w:type="spellEnd"/>
      <w:r w:rsidRPr="004D7EBC">
        <w:rPr>
          <w:lang w:val="en-US"/>
        </w:rPr>
        <w:t xml:space="preserve"> et al., 2008). </w:t>
      </w:r>
    </w:p>
    <w:p w:rsidR="008C613C" w:rsidRPr="004D7EBC" w:rsidRDefault="004D7EBC">
      <w:pPr>
        <w:rPr>
          <w:lang w:val="en-US"/>
        </w:rPr>
      </w:pPr>
      <w:r w:rsidRPr="004D7EBC">
        <w:rPr>
          <w:lang w:val="en-US"/>
        </w:rPr>
        <w:t xml:space="preserve">The paper is organized as follows. Section 2 defines the role of local banks in the relationship lending model according to the related literature. Section 3 analyses the concept of systemic risk referred to the banking industry. Section 4 describes the types of Italian local banks. Section 5 illustrates the main </w:t>
      </w:r>
      <w:proofErr w:type="spellStart"/>
      <w:r w:rsidRPr="004D7EBC">
        <w:rPr>
          <w:lang w:val="en-US"/>
        </w:rPr>
        <w:t>stylised</w:t>
      </w:r>
      <w:proofErr w:type="spellEnd"/>
      <w:r w:rsidRPr="004D7EBC">
        <w:rPr>
          <w:lang w:val="en-US"/>
        </w:rPr>
        <w:t xml:space="preserve"> facts on credit supply in Italy during the crisis. Section 6 describes the dataset and shows descriptive statistics. Section 7 discusses the estimation strategy. Section 8 shows the results. Section 9 performs robustness checks. Section 10 concludes.</w:t>
      </w:r>
    </w:p>
    <w:p w:rsidR="008C613C" w:rsidRPr="004D7EBC" w:rsidRDefault="008C613C">
      <w:pPr>
        <w:rPr>
          <w:lang w:val="en-US"/>
        </w:rPr>
      </w:pPr>
    </w:p>
    <w:p w:rsidR="008C613C" w:rsidRPr="004D7EBC" w:rsidRDefault="004D7EBC">
      <w:pPr>
        <w:rPr>
          <w:lang w:val="en-US"/>
        </w:rPr>
      </w:pPr>
      <w:r w:rsidRPr="004D7EBC">
        <w:rPr>
          <w:b/>
          <w:lang w:val="en-US"/>
        </w:rPr>
        <w:t>2. Local banks and relationship lending.</w:t>
      </w:r>
    </w:p>
    <w:p w:rsidR="008C613C" w:rsidRPr="004D7EBC" w:rsidRDefault="004D7EBC">
      <w:pPr>
        <w:rPr>
          <w:lang w:val="en-US"/>
        </w:rPr>
      </w:pPr>
      <w:r w:rsidRPr="004D7EBC">
        <w:rPr>
          <w:lang w:val="en-US"/>
        </w:rPr>
        <w:t>Information asymmetries that normally plague credit markets have been extensively studied by the economic literature since the late 70s (</w:t>
      </w:r>
      <w:proofErr w:type="spellStart"/>
      <w:r w:rsidRPr="004D7EBC">
        <w:rPr>
          <w:lang w:val="en-US"/>
        </w:rPr>
        <w:t>Jaffee</w:t>
      </w:r>
      <w:proofErr w:type="spellEnd"/>
      <w:r w:rsidRPr="004D7EBC">
        <w:rPr>
          <w:lang w:val="en-US"/>
        </w:rPr>
        <w:t xml:space="preserve"> and Russell, 1976; Stiglitz and Weiss, 1981). The main strand of this literature views adverse selection and moral hazard as potential causes of inefficiency in the allocation of credit and, ultimately, of its rationing (Bhattacharya and </w:t>
      </w:r>
      <w:proofErr w:type="spellStart"/>
      <w:r w:rsidRPr="004D7EBC">
        <w:rPr>
          <w:lang w:val="en-US"/>
        </w:rPr>
        <w:t>Thakor</w:t>
      </w:r>
      <w:proofErr w:type="spellEnd"/>
      <w:r w:rsidRPr="004D7EBC">
        <w:rPr>
          <w:lang w:val="en-US"/>
        </w:rPr>
        <w:t xml:space="preserve">, 1993). As a result, borrowers may have the incentive of making suboptimal investments trusting that their </w:t>
      </w:r>
      <w:proofErr w:type="spellStart"/>
      <w:r w:rsidRPr="004D7EBC">
        <w:rPr>
          <w:lang w:val="en-US"/>
        </w:rPr>
        <w:t>behaviour</w:t>
      </w:r>
      <w:proofErr w:type="spellEnd"/>
      <w:r w:rsidRPr="004D7EBC">
        <w:rPr>
          <w:lang w:val="en-US"/>
        </w:rPr>
        <w:t xml:space="preserve"> cannot be monitored by the banks, thus increasing the ex post average risk of bank loans.</w:t>
      </w:r>
    </w:p>
    <w:p w:rsidR="008C613C" w:rsidRPr="004D7EBC" w:rsidRDefault="004D7EBC">
      <w:pPr>
        <w:rPr>
          <w:lang w:val="en-US"/>
        </w:rPr>
      </w:pPr>
      <w:r w:rsidRPr="004D7EBC">
        <w:rPr>
          <w:lang w:val="en-US"/>
        </w:rPr>
        <w:t xml:space="preserve">Information on borrowers can be gained in two ways: either by private relationships or by analytical tools. The first method is typical of relationship lending. The bank, establishing long term relationships with firms, entrepreneurs, households and the local community, acquires, over time, an increasing amount of information about each borrowing firm and its relevant markets. By triggering the flow of soft information, the continuity and the intensity of the credit relationship become the main source of informational advantage for banks. Such information is used to weight credit access requirements according to opaque characteristics of the borrower. In this way banks can reduce the information asymmetry that plagues credit relationships, thanks to deeper screening, closer monitoring, a more effective audit, and a wider variety of enforcement tools, including the ones attached to social norms. Additionally, trust plays a central role in addressing the uncertainty that characterizes the relationship between lenders and borrowers, while being a resource that cannot be traded in the market as it is based on mutual recognition (reciprocity) and commitment. </w:t>
      </w:r>
    </w:p>
    <w:p w:rsidR="008C613C" w:rsidRPr="004D7EBC" w:rsidRDefault="004D7EBC">
      <w:pPr>
        <w:rPr>
          <w:lang w:val="en-US"/>
        </w:rPr>
      </w:pPr>
      <w:r w:rsidRPr="004D7EBC">
        <w:rPr>
          <w:lang w:val="en-US"/>
        </w:rPr>
        <w:lastRenderedPageBreak/>
        <w:t xml:space="preserve">On such a basis the specific requirements identified by the literature for a credit relationship to fall within the relationship lending model are the following ones (Berger, 1999; Berger and </w:t>
      </w:r>
      <w:proofErr w:type="spellStart"/>
      <w:r w:rsidRPr="004D7EBC">
        <w:rPr>
          <w:lang w:val="en-US"/>
        </w:rPr>
        <w:t>Udell</w:t>
      </w:r>
      <w:proofErr w:type="spellEnd"/>
      <w:r w:rsidRPr="004D7EBC">
        <w:rPr>
          <w:lang w:val="en-US"/>
        </w:rPr>
        <w:t>, 2002):</w:t>
      </w:r>
    </w:p>
    <w:p w:rsidR="008C613C" w:rsidRPr="004D7EBC" w:rsidRDefault="004D7EBC">
      <w:pPr>
        <w:numPr>
          <w:ilvl w:val="0"/>
          <w:numId w:val="2"/>
        </w:numPr>
        <w:ind w:hanging="360"/>
        <w:rPr>
          <w:lang w:val="en-US"/>
        </w:rPr>
      </w:pPr>
      <w:r w:rsidRPr="004D7EBC">
        <w:rPr>
          <w:lang w:val="en-US"/>
        </w:rPr>
        <w:t>The information collected by the lender is higher than the one publicly available;</w:t>
      </w:r>
    </w:p>
    <w:p w:rsidR="008C613C" w:rsidRPr="004D7EBC" w:rsidRDefault="004D7EBC">
      <w:pPr>
        <w:numPr>
          <w:ilvl w:val="0"/>
          <w:numId w:val="2"/>
        </w:numPr>
        <w:ind w:hanging="360"/>
        <w:rPr>
          <w:lang w:val="en-US"/>
        </w:rPr>
      </w:pPr>
      <w:r w:rsidRPr="004D7EBC">
        <w:rPr>
          <w:lang w:val="en-US"/>
        </w:rPr>
        <w:t>The collection of information is not instantaneous, but it needs repeated interactions between the lender and the borrower;</w:t>
      </w:r>
    </w:p>
    <w:p w:rsidR="008C613C" w:rsidRPr="004D7EBC" w:rsidRDefault="004D7EBC">
      <w:pPr>
        <w:numPr>
          <w:ilvl w:val="0"/>
          <w:numId w:val="2"/>
        </w:numPr>
        <w:ind w:hanging="360"/>
        <w:rPr>
          <w:lang w:val="en-US"/>
        </w:rPr>
      </w:pPr>
      <w:r w:rsidRPr="004D7EBC">
        <w:rPr>
          <w:lang w:val="en-US"/>
        </w:rPr>
        <w:t>The information grounds on trust and personal relationships;</w:t>
      </w:r>
    </w:p>
    <w:p w:rsidR="008C613C" w:rsidRPr="004D7EBC" w:rsidRDefault="004D7EBC">
      <w:pPr>
        <w:numPr>
          <w:ilvl w:val="0"/>
          <w:numId w:val="2"/>
        </w:numPr>
        <w:ind w:hanging="360"/>
        <w:rPr>
          <w:lang w:val="en-US"/>
        </w:rPr>
      </w:pPr>
      <w:r w:rsidRPr="004D7EBC">
        <w:rPr>
          <w:lang w:val="en-US"/>
        </w:rPr>
        <w:t xml:space="preserve">The information usually concerns personal characteristics of entrepreneurs, the relationships between the lender and its stakeholders, the position of the lender within the local community. </w:t>
      </w:r>
    </w:p>
    <w:p w:rsidR="008C613C" w:rsidRPr="004D7EBC" w:rsidRDefault="004D7EBC">
      <w:pPr>
        <w:rPr>
          <w:lang w:val="en-US"/>
        </w:rPr>
      </w:pPr>
      <w:r w:rsidRPr="004D7EBC">
        <w:rPr>
          <w:lang w:val="en-US"/>
        </w:rPr>
        <w:t xml:space="preserve">Gathering this information over time eventually allows a more efficient allocation of credit: the best knowledge of the borrowers, along with a more effective evaluation of investment projects, reduces credit rationing, possibly lowering the interest rate charged to the borrower (Petersen and </w:t>
      </w:r>
      <w:proofErr w:type="spellStart"/>
      <w:r w:rsidRPr="004D7EBC">
        <w:rPr>
          <w:lang w:val="en-US"/>
        </w:rPr>
        <w:t>Rajan</w:t>
      </w:r>
      <w:proofErr w:type="spellEnd"/>
      <w:r w:rsidRPr="004D7EBC">
        <w:rPr>
          <w:lang w:val="en-US"/>
        </w:rPr>
        <w:t xml:space="preserve">, 1994). In particular, relationship lending is typically associated with small and closely held banks with few managerial levels as these organizational structures are best at solving “agency” problems and managing soft information. On the other hand, this type of banks is supposed to be the typical credit source for small firms. According to Berger and </w:t>
      </w:r>
      <w:proofErr w:type="spellStart"/>
      <w:r w:rsidRPr="004D7EBC">
        <w:rPr>
          <w:lang w:val="en-US"/>
        </w:rPr>
        <w:t>Udell</w:t>
      </w:r>
      <w:proofErr w:type="spellEnd"/>
      <w:r w:rsidRPr="004D7EBC">
        <w:rPr>
          <w:lang w:val="en-US"/>
        </w:rPr>
        <w:t xml:space="preserve"> (1998, p. 645) “</w:t>
      </w:r>
      <w:r w:rsidRPr="004D7EBC">
        <w:rPr>
          <w:i/>
          <w:lang w:val="en-US"/>
        </w:rPr>
        <w:t>relationship lending may have a number of benefits to small firms, including lower costs, greater availability of credit due to efficient gathering of information, protection against credit crunches, or the provision of implicit interest rate or credit risk insurance</w:t>
      </w:r>
      <w:r w:rsidRPr="004D7EBC">
        <w:rPr>
          <w:lang w:val="en-US"/>
        </w:rPr>
        <w:t xml:space="preserve">”. These benefits may stem from two different sources. First, the reliance on soft information allows banks to make nonstandard loans, as in case of small business lending (Nakamura, 1993). Second, the informational opacity and administrative costs usually hamper the access of small firms to public markets and to credit scoring. Empirical studies support the view that relationship based model produces an informational advantage with regard to banks decisions to finance small businesses (Peek and </w:t>
      </w:r>
      <w:proofErr w:type="spellStart"/>
      <w:r w:rsidRPr="004D7EBC">
        <w:rPr>
          <w:lang w:val="en-US"/>
        </w:rPr>
        <w:t>Rosengren</w:t>
      </w:r>
      <w:proofErr w:type="spellEnd"/>
      <w:r w:rsidRPr="004D7EBC">
        <w:rPr>
          <w:lang w:val="en-US"/>
        </w:rPr>
        <w:t xml:space="preserve">, 1995; Strahan and Weston, 1998). Banks tend to approve their loans to small businesses basing more on the existence of prior relationships and less on analytical tools (Cole et al., 2004) whose costs may be prohibitive where the business and the loan are very small. </w:t>
      </w:r>
      <w:r w:rsidRPr="004D7EBC">
        <w:rPr>
          <w:sz w:val="22"/>
          <w:szCs w:val="22"/>
          <w:lang w:val="en-US"/>
        </w:rPr>
        <w:t xml:space="preserve"> It has also been argued, however, that large banks may still be able to make credit available to opaque SME loan customers by developing targeted transaction lending technologies not based on financial statements, such as small business credit scoring and asset-based lending </w:t>
      </w:r>
      <w:r w:rsidRPr="004D7EBC">
        <w:rPr>
          <w:sz w:val="22"/>
          <w:szCs w:val="22"/>
          <w:lang w:val="en-US"/>
        </w:rPr>
        <w:lastRenderedPageBreak/>
        <w:t xml:space="preserve">(Berger and </w:t>
      </w:r>
      <w:proofErr w:type="spellStart"/>
      <w:r w:rsidRPr="004D7EBC">
        <w:rPr>
          <w:sz w:val="22"/>
          <w:szCs w:val="22"/>
          <w:lang w:val="en-US"/>
        </w:rPr>
        <w:t>Udell</w:t>
      </w:r>
      <w:proofErr w:type="spellEnd"/>
      <w:r w:rsidRPr="004D7EBC">
        <w:rPr>
          <w:sz w:val="22"/>
          <w:szCs w:val="22"/>
          <w:lang w:val="en-US"/>
        </w:rPr>
        <w:t xml:space="preserve">, 2006). Accordingly, although large institutions are typically disadvantaged in relationship lending, they could still accommodate opaque SMEs by leveraging on other technologies and business models. </w:t>
      </w:r>
    </w:p>
    <w:p w:rsidR="008C613C" w:rsidRPr="004D7EBC" w:rsidRDefault="004D7EBC">
      <w:pPr>
        <w:rPr>
          <w:lang w:val="en-US"/>
        </w:rPr>
      </w:pPr>
      <w:r w:rsidRPr="004D7EBC">
        <w:rPr>
          <w:lang w:val="en-US"/>
        </w:rPr>
        <w:t>Relationship lending is tightly related to local banking. Banks having roots in the local community may enter into long-term relationships with small firms and devote their attention to the development of the relevant local system of production better than other financial intermediaries. In particular, geographical and social proximity with the local community is likely to reduce information asymmetries and increase the personal commitment of the borrower towards the bank. Accordingly, local banks are supposed to have a competitive advantage in collecting information on borrowers thanks to the personal and repeated interaction between the two parties of the credit relationships (De Young et al., 2004). In order to designate local banks both the size and the distance between bank’s headquarters and branches are relevant variables as well as the degree of geographical concentration of the relevant markets</w:t>
      </w:r>
      <w:r>
        <w:rPr>
          <w:vertAlign w:val="superscript"/>
        </w:rPr>
        <w:footnoteReference w:id="1"/>
      </w:r>
      <w:r w:rsidRPr="004D7EBC">
        <w:rPr>
          <w:lang w:val="en-US"/>
        </w:rPr>
        <w:t xml:space="preserve"> (Stein, 2002; Berger et al., 2008). Small, single-market banks are “</w:t>
      </w:r>
      <w:r w:rsidRPr="004D7EBC">
        <w:rPr>
          <w:i/>
          <w:lang w:val="en-US"/>
        </w:rPr>
        <w:t>superior in processing soft qualitative information about their customers and local communities that is difficult to quantify and transmit over distances and through the communication channels of other banks</w:t>
      </w:r>
      <w:r w:rsidRPr="004D7EBC">
        <w:rPr>
          <w:lang w:val="en-US"/>
        </w:rPr>
        <w:t xml:space="preserve">” (Berger et al., 2013, p. 16). Another criterion is related to the bank’s ownership structure. Berger et al. (2001) argue that large and foreign-owned banks may face difficulties in granting loans on a relationship lending basis. On the other hand, mutual cooperatives might better deal with small firms and problem loans because they are not controlled by market investors (Shimizu, 2012). Local banks can thus be viewed as the main actors in applying the relationship lending model as they are better suited to enter in credit relationship based on mutual trust and to process “soft” qualitative information for screening healthy firms. </w:t>
      </w:r>
    </w:p>
    <w:p w:rsidR="008C613C" w:rsidRPr="004D7EBC" w:rsidRDefault="008C613C">
      <w:pPr>
        <w:rPr>
          <w:lang w:val="en-US"/>
        </w:rPr>
      </w:pPr>
    </w:p>
    <w:p w:rsidR="008C613C" w:rsidRPr="004D7EBC" w:rsidRDefault="004D7EBC">
      <w:pPr>
        <w:rPr>
          <w:lang w:val="en-US"/>
        </w:rPr>
      </w:pPr>
      <w:r w:rsidRPr="004D7EBC">
        <w:rPr>
          <w:b/>
          <w:lang w:val="en-US"/>
        </w:rPr>
        <w:t xml:space="preserve">3. Systemic risk and relationship lending during the financial crises. </w:t>
      </w:r>
    </w:p>
    <w:p w:rsidR="008C613C" w:rsidRPr="004D7EBC" w:rsidRDefault="004D7EBC">
      <w:pPr>
        <w:rPr>
          <w:lang w:val="en-US"/>
        </w:rPr>
      </w:pPr>
      <w:r w:rsidRPr="004D7EBC">
        <w:rPr>
          <w:lang w:val="en-US"/>
        </w:rPr>
        <w:t xml:space="preserve">The global crisis of 2008-2009 revived the concepts of systemic crisis and systemic failure: the banking sector was involved in a systemic crisis that led to a turmoil of the overall financial system, while regulation demonstrated its inability to manage it. Systemic failure can be thought as the possible outcome of a systemic risk, which is a notion typically referred to financial markets and </w:t>
      </w:r>
      <w:r w:rsidRPr="004D7EBC">
        <w:rPr>
          <w:lang w:val="en-US"/>
        </w:rPr>
        <w:lastRenderedPageBreak/>
        <w:t>associated with the risk of cascading failures for financial organizations</w:t>
      </w:r>
      <w:r>
        <w:rPr>
          <w:vertAlign w:val="superscript"/>
        </w:rPr>
        <w:footnoteReference w:id="2"/>
      </w:r>
      <w:r w:rsidRPr="004D7EBC">
        <w:rPr>
          <w:vertAlign w:val="superscript"/>
          <w:lang w:val="en-US"/>
        </w:rPr>
        <w:t>.</w:t>
      </w:r>
      <w:r w:rsidRPr="004D7EBC">
        <w:rPr>
          <w:lang w:val="en-US"/>
        </w:rPr>
        <w:t>. Systemic risk does not refer to single organizations, but to their inter-linkages and inter-dependencies in systems/markets. Actually, according to Lehar (2005) there are two prominent factors of systemic risk: the correlation between the values of banks' assets portfolio, and banks assets volatility. Both of them are positively related with banks’ size. As a consequence, he proposes a “systemic risk index based on assets” (SIV) driven by large banks whose straight implication is that local banks can mitigate the risk of cascading failures in the banking industry. The positive correlation between a bank's size and systemic risk (Huang et al., 2011)</w:t>
      </w:r>
      <w:r>
        <w:rPr>
          <w:vertAlign w:val="superscript"/>
        </w:rPr>
        <w:footnoteReference w:id="3"/>
      </w:r>
      <w:r w:rsidRPr="004D7EBC">
        <w:rPr>
          <w:lang w:val="en-US"/>
        </w:rPr>
        <w:t xml:space="preserve"> is also consistent with the view that the analysis of systemic risk should focus on interbank market, which is typically a prominent financial source for large banks. In fact, the malfunctioning of interbank market has been commonly acknowledged as a cause of concern during the crisis (</w:t>
      </w:r>
      <w:proofErr w:type="spellStart"/>
      <w:r w:rsidRPr="004D7EBC">
        <w:rPr>
          <w:lang w:val="en-US"/>
        </w:rPr>
        <w:t>Brunnermeier</w:t>
      </w:r>
      <w:proofErr w:type="spellEnd"/>
      <w:r w:rsidRPr="004D7EBC">
        <w:rPr>
          <w:lang w:val="en-US"/>
        </w:rPr>
        <w:t xml:space="preserve">, 2009). The larger are interbank deposits with a failed bank, the more likely is bank’s insolvency. It has been found that the lending cut by Canadian banks has been more pronounced for banks that were more exposed to wholesale funding before the crisis (Allen and </w:t>
      </w:r>
      <w:proofErr w:type="spellStart"/>
      <w:r w:rsidRPr="004D7EBC">
        <w:rPr>
          <w:lang w:val="en-US"/>
        </w:rPr>
        <w:t>Paligorova</w:t>
      </w:r>
      <w:proofErr w:type="spellEnd"/>
      <w:r w:rsidRPr="004D7EBC">
        <w:rPr>
          <w:lang w:val="en-US"/>
        </w:rPr>
        <w:t xml:space="preserve">, 2011). Dependence on the interbank market also affects the lending </w:t>
      </w:r>
      <w:proofErr w:type="spellStart"/>
      <w:r w:rsidRPr="004D7EBC">
        <w:rPr>
          <w:lang w:val="en-US"/>
        </w:rPr>
        <w:t>behaviour</w:t>
      </w:r>
      <w:proofErr w:type="spellEnd"/>
      <w:r w:rsidRPr="004D7EBC">
        <w:rPr>
          <w:lang w:val="en-US"/>
        </w:rPr>
        <w:t xml:space="preserve"> of foreign banks in periods of financial turmoil. There is evidence that credit constraints from foreign intermediaries to their affiliates and from the affiliates to borrowers in the host market was sharper than the rationing coming from domestic intermediaries (</w:t>
      </w:r>
      <w:proofErr w:type="spellStart"/>
      <w:r w:rsidRPr="004D7EBC">
        <w:rPr>
          <w:lang w:val="en-US"/>
        </w:rPr>
        <w:t>Cetorelli</w:t>
      </w:r>
      <w:proofErr w:type="spellEnd"/>
      <w:r w:rsidRPr="004D7EBC">
        <w:rPr>
          <w:lang w:val="en-US"/>
        </w:rPr>
        <w:t xml:space="preserve"> and </w:t>
      </w:r>
      <w:proofErr w:type="spellStart"/>
      <w:r w:rsidRPr="004D7EBC">
        <w:rPr>
          <w:lang w:val="en-US"/>
        </w:rPr>
        <w:t>Goldsberg</w:t>
      </w:r>
      <w:proofErr w:type="spellEnd"/>
      <w:r w:rsidRPr="004D7EBC">
        <w:rPr>
          <w:lang w:val="en-US"/>
        </w:rPr>
        <w:t xml:space="preserve">, 2012; </w:t>
      </w:r>
      <w:proofErr w:type="spellStart"/>
      <w:r w:rsidRPr="004D7EBC">
        <w:rPr>
          <w:lang w:val="en-US"/>
        </w:rPr>
        <w:t>Albertazzi</w:t>
      </w:r>
      <w:proofErr w:type="spellEnd"/>
      <w:r w:rsidRPr="004D7EBC">
        <w:rPr>
          <w:lang w:val="en-US"/>
        </w:rPr>
        <w:t xml:space="preserve"> and </w:t>
      </w:r>
      <w:proofErr w:type="spellStart"/>
      <w:r w:rsidRPr="004D7EBC">
        <w:rPr>
          <w:lang w:val="en-US"/>
        </w:rPr>
        <w:t>Botero</w:t>
      </w:r>
      <w:proofErr w:type="spellEnd"/>
      <w:r w:rsidRPr="004D7EBC">
        <w:rPr>
          <w:lang w:val="en-US"/>
        </w:rPr>
        <w:t xml:space="preserve">, 2013). </w:t>
      </w:r>
    </w:p>
    <w:p w:rsidR="008C613C" w:rsidRPr="004D7EBC" w:rsidRDefault="004D7EBC">
      <w:pPr>
        <w:rPr>
          <w:lang w:val="en-US"/>
        </w:rPr>
      </w:pPr>
      <w:r w:rsidRPr="004D7EBC">
        <w:rPr>
          <w:lang w:val="en-US"/>
        </w:rPr>
        <w:t xml:space="preserve">On the contrary, relationship lending is held to be more valuable in times of financial distress for borrowing firms. Thanks to their informational advantage, relationship banks tend to respond quickly to the distress by mitigating liquidity constraints, restructuring debts, and fostering the needed operational reorganization of borrowing firms (Woo-Nam, 2004). Moreover, while in normal times relationship banks tend to charge higher interest rates, the opposite occurs in crisis times because they learn about borrowers over time and are better able to select the clients to be supported through the crisis (Bolton et al, 2013). However, because loans based on soft information are far less liquid than those based upon quantifiable information, the high share of relationship </w:t>
      </w:r>
      <w:r w:rsidRPr="004D7EBC">
        <w:rPr>
          <w:lang w:val="en-US"/>
        </w:rPr>
        <w:lastRenderedPageBreak/>
        <w:t xml:space="preserve">loans held by these banks can make it difficult for them to raise new funds during a financial crisis due to the illiquidity of existing loans. Accordingly, because of their tighter capital constraints local banks may decide to adopt risk-averse </w:t>
      </w:r>
      <w:proofErr w:type="spellStart"/>
      <w:r w:rsidRPr="004D7EBC">
        <w:rPr>
          <w:lang w:val="en-US"/>
        </w:rPr>
        <w:t>behaviour</w:t>
      </w:r>
      <w:proofErr w:type="spellEnd"/>
      <w:r w:rsidRPr="004D7EBC">
        <w:rPr>
          <w:lang w:val="en-US"/>
        </w:rPr>
        <w:t xml:space="preserve"> and a subsequent pro-cyclical reduction in loan supply to SMEs (Sullivan and </w:t>
      </w:r>
      <w:proofErr w:type="spellStart"/>
      <w:r w:rsidRPr="004D7EBC">
        <w:rPr>
          <w:lang w:val="en-US"/>
        </w:rPr>
        <w:t>Spong</w:t>
      </w:r>
      <w:proofErr w:type="spellEnd"/>
      <w:r w:rsidRPr="004D7EBC">
        <w:rPr>
          <w:lang w:val="en-US"/>
        </w:rPr>
        <w:t xml:space="preserve">, 2007). </w:t>
      </w:r>
    </w:p>
    <w:p w:rsidR="008C613C" w:rsidRPr="004D7EBC" w:rsidRDefault="004D7EBC">
      <w:pPr>
        <w:rPr>
          <w:lang w:val="en-US"/>
        </w:rPr>
      </w:pPr>
      <w:r w:rsidRPr="004D7EBC">
        <w:rPr>
          <w:lang w:val="en-US"/>
        </w:rPr>
        <w:t xml:space="preserve">Although the different attitude of relationship lending towards loan supply during a credit crunch is envisaged by the literature, there are few studies focusing on this issue. </w:t>
      </w:r>
      <w:proofErr w:type="spellStart"/>
      <w:r w:rsidRPr="004D7EBC">
        <w:rPr>
          <w:lang w:val="en-US"/>
        </w:rPr>
        <w:t>Elsas</w:t>
      </w:r>
      <w:proofErr w:type="spellEnd"/>
      <w:r w:rsidRPr="004D7EBC">
        <w:rPr>
          <w:lang w:val="en-US"/>
        </w:rPr>
        <w:t xml:space="preserve"> and </w:t>
      </w:r>
      <w:proofErr w:type="spellStart"/>
      <w:r w:rsidRPr="004D7EBC">
        <w:rPr>
          <w:lang w:val="en-US"/>
        </w:rPr>
        <w:t>Krahnen</w:t>
      </w:r>
      <w:proofErr w:type="spellEnd"/>
      <w:r w:rsidRPr="004D7EBC">
        <w:rPr>
          <w:lang w:val="en-US"/>
        </w:rPr>
        <w:t xml:space="preserve"> (1998) address the case of idiosyncratic shocks, i.e. a firm’s financial distress, showing that close lending relationships are beneficial to firms. By using data from a US bank in mid-19th century, </w:t>
      </w:r>
      <w:proofErr w:type="spellStart"/>
      <w:r w:rsidRPr="004D7EBC">
        <w:rPr>
          <w:lang w:val="en-US"/>
        </w:rPr>
        <w:t>Bodenhorn</w:t>
      </w:r>
      <w:proofErr w:type="spellEnd"/>
      <w:r w:rsidRPr="004D7EBC">
        <w:rPr>
          <w:lang w:val="en-US"/>
        </w:rPr>
        <w:t xml:space="preserve"> (2003) shows that borrowers with longer relationships were more likely to have loan terms renegotiated during the credit crunch of 1857. </w:t>
      </w:r>
      <w:proofErr w:type="spellStart"/>
      <w:r w:rsidRPr="004D7EBC">
        <w:rPr>
          <w:lang w:val="en-US"/>
        </w:rPr>
        <w:t>Jiangli</w:t>
      </w:r>
      <w:proofErr w:type="spellEnd"/>
      <w:r w:rsidRPr="004D7EBC">
        <w:rPr>
          <w:lang w:val="en-US"/>
        </w:rPr>
        <w:t xml:space="preserve"> et al. (2009) compare four Asian countries during 1998 crisis, highlighting that Korean and Thai firms with looser relationships experienced a higher likelihood of being credit constrained, while the opposite occurred for Philippine firms. Concerning the last financial crisis, insofar it has been documented that credit supply declined relatively less for SMEs with strong bank-borrower relationships (Jimenez et al., 2012; </w:t>
      </w:r>
      <w:proofErr w:type="spellStart"/>
      <w:r w:rsidRPr="004D7EBC">
        <w:rPr>
          <w:lang w:val="en-US"/>
        </w:rPr>
        <w:t>Montorial-Garriga</w:t>
      </w:r>
      <w:proofErr w:type="spellEnd"/>
      <w:r w:rsidRPr="004D7EBC">
        <w:rPr>
          <w:lang w:val="en-US"/>
        </w:rPr>
        <w:t xml:space="preserve"> and Wang, 2012).  With regard to Italy, De </w:t>
      </w:r>
      <w:proofErr w:type="spellStart"/>
      <w:r w:rsidRPr="004D7EBC">
        <w:rPr>
          <w:lang w:val="en-US"/>
        </w:rPr>
        <w:t>Mitri</w:t>
      </w:r>
      <w:proofErr w:type="spellEnd"/>
      <w:r w:rsidRPr="004D7EBC">
        <w:rPr>
          <w:lang w:val="en-US"/>
        </w:rPr>
        <w:t xml:space="preserve"> et al. (2010) and Bolton et al. (2013) provide evidence on the association between credit rationing and relationship lending variables during the last crisis arguing that relationship lending played a crucial role in limiting the effects of the negative shocks attached to the crisis. Positive effects of relationship lending are also measured with respect to the quality of loan portfolio during the last financial crisis (</w:t>
      </w:r>
      <w:proofErr w:type="spellStart"/>
      <w:r w:rsidRPr="004D7EBC">
        <w:rPr>
          <w:lang w:val="en-US"/>
        </w:rPr>
        <w:t>Cotugno</w:t>
      </w:r>
      <w:proofErr w:type="spellEnd"/>
      <w:r w:rsidRPr="004D7EBC">
        <w:rPr>
          <w:lang w:val="en-US"/>
        </w:rPr>
        <w:t xml:space="preserve"> et al., 2013). These studies, however, do not differentiate local banks according to their characteristics, such as governance model and business strategies, which can influence banks’ lending </w:t>
      </w:r>
      <w:proofErr w:type="spellStart"/>
      <w:r w:rsidRPr="004D7EBC">
        <w:rPr>
          <w:lang w:val="en-US"/>
        </w:rPr>
        <w:t>behaviours</w:t>
      </w:r>
      <w:proofErr w:type="spellEnd"/>
      <w:r w:rsidRPr="004D7EBC">
        <w:rPr>
          <w:lang w:val="en-US"/>
        </w:rPr>
        <w:t xml:space="preserve"> during economic downturns (De Young et al., 2015).</w:t>
      </w:r>
    </w:p>
    <w:p w:rsidR="008C613C" w:rsidRPr="004D7EBC" w:rsidRDefault="008C613C">
      <w:pPr>
        <w:rPr>
          <w:lang w:val="en-US"/>
        </w:rPr>
      </w:pPr>
    </w:p>
    <w:p w:rsidR="008C613C" w:rsidRPr="004D7EBC" w:rsidRDefault="004D7EBC">
      <w:pPr>
        <w:rPr>
          <w:lang w:val="en-US"/>
        </w:rPr>
      </w:pPr>
      <w:r w:rsidRPr="004D7EBC">
        <w:rPr>
          <w:b/>
          <w:lang w:val="en-US"/>
        </w:rPr>
        <w:t>4. Credit supply in Italy during the crisis</w:t>
      </w:r>
    </w:p>
    <w:p w:rsidR="008C613C" w:rsidRPr="004D7EBC" w:rsidRDefault="004D7EBC">
      <w:pPr>
        <w:rPr>
          <w:lang w:val="en-US"/>
        </w:rPr>
      </w:pPr>
      <w:r w:rsidRPr="004D7EBC">
        <w:rPr>
          <w:lang w:val="en-US"/>
        </w:rPr>
        <w:t xml:space="preserve">The crisis had a dramatic impact on bank loans to Italian firms from both the demand and the supply side. From the supply side the financial instability following the default of Lehman Brothers determined a sharp increase in funding problems for several banks. From the demand side the global recession caused a rise of the borrowers’ riskiness. In 2009, immediately after the financial distress, small banks tightened their credit standards by a lower extent than large banks. The annual rate of growth of credit to the private sector felt from 7.8 per cent in October 2008 to -0.7 per cent </w:t>
      </w:r>
      <w:r w:rsidRPr="004D7EBC">
        <w:rPr>
          <w:lang w:val="en-US"/>
        </w:rPr>
        <w:lastRenderedPageBreak/>
        <w:t>in December 2009. Yet, if one distinguishes small banks from large ones these trends diverge: considering only the five largest Italian banking groups, credit growth rate slumped from 3.3 to -4.5 per cent over the same period, while small banks continued to increase their credit supply in all this period, although at a lower growth rate, thus improving their market share. Then, during the economic recovery that started from the second semester of 2009, large banks’ credit supply growth came back to positive values. In parallel local banks became more cautious, confirming their pre-crisis attitude of followers in the banking market and reporting a lower rate of increase of credit supply than large financial intermediaries</w:t>
      </w:r>
      <w:r>
        <w:rPr>
          <w:vertAlign w:val="superscript"/>
        </w:rPr>
        <w:footnoteReference w:id="4"/>
      </w:r>
      <w:r w:rsidRPr="004D7EBC">
        <w:rPr>
          <w:lang w:val="en-US"/>
        </w:rPr>
        <w:t xml:space="preserve">. </w:t>
      </w:r>
    </w:p>
    <w:p w:rsidR="008C613C" w:rsidRPr="004D7EBC" w:rsidRDefault="004D7EBC">
      <w:pPr>
        <w:rPr>
          <w:lang w:val="en-US"/>
        </w:rPr>
      </w:pPr>
      <w:r w:rsidRPr="004D7EBC">
        <w:rPr>
          <w:lang w:val="en-US"/>
        </w:rPr>
        <w:t xml:space="preserve">Some recent papers go further </w:t>
      </w:r>
      <w:proofErr w:type="spellStart"/>
      <w:r w:rsidRPr="004D7EBC">
        <w:rPr>
          <w:lang w:val="en-US"/>
        </w:rPr>
        <w:t>analysing</w:t>
      </w:r>
      <w:proofErr w:type="spellEnd"/>
      <w:r w:rsidRPr="004D7EBC">
        <w:rPr>
          <w:lang w:val="en-US"/>
        </w:rPr>
        <w:t xml:space="preserve"> Italian microdata on credit supply during the crisis. De </w:t>
      </w:r>
      <w:proofErr w:type="spellStart"/>
      <w:r w:rsidRPr="004D7EBC">
        <w:rPr>
          <w:lang w:val="en-US"/>
        </w:rPr>
        <w:t>Mitri</w:t>
      </w:r>
      <w:proofErr w:type="spellEnd"/>
      <w:r w:rsidRPr="004D7EBC">
        <w:rPr>
          <w:lang w:val="en-US"/>
        </w:rPr>
        <w:t xml:space="preserve"> et al. (2010) estimate the impact of typical relationship lending variables on credit growth to firms. The regression shows that these variables are negatively related to additional credit if firms  already enjoy </w:t>
      </w:r>
      <w:proofErr w:type="spellStart"/>
      <w:r w:rsidRPr="004D7EBC">
        <w:rPr>
          <w:lang w:val="en-US"/>
        </w:rPr>
        <w:t>favourable</w:t>
      </w:r>
      <w:proofErr w:type="spellEnd"/>
      <w:r w:rsidRPr="004D7EBC">
        <w:rPr>
          <w:lang w:val="en-US"/>
        </w:rPr>
        <w:t xml:space="preserve"> credit conditions, while they are positively related to a moderate contraction in credit for firms that experienced a decrease of credit yields. Thus their results “</w:t>
      </w:r>
      <w:r w:rsidRPr="004D7EBC">
        <w:rPr>
          <w:i/>
          <w:lang w:val="en-US"/>
        </w:rPr>
        <w:t>suggest that relationship lending acts as a sort of parachute for firms experiencing a contraction in credit</w:t>
      </w:r>
      <w:r w:rsidRPr="004D7EBC">
        <w:rPr>
          <w:lang w:val="en-US"/>
        </w:rPr>
        <w:t xml:space="preserve">” (De </w:t>
      </w:r>
      <w:proofErr w:type="spellStart"/>
      <w:r w:rsidRPr="004D7EBC">
        <w:rPr>
          <w:lang w:val="en-US"/>
        </w:rPr>
        <w:t>Mitri</w:t>
      </w:r>
      <w:proofErr w:type="spellEnd"/>
      <w:r w:rsidRPr="004D7EBC">
        <w:rPr>
          <w:lang w:val="en-US"/>
        </w:rPr>
        <w:t xml:space="preserve"> et al, 2010, p. 20). These findings are confirmed by </w:t>
      </w:r>
      <w:proofErr w:type="spellStart"/>
      <w:r w:rsidRPr="004D7EBC">
        <w:rPr>
          <w:lang w:val="en-US"/>
        </w:rPr>
        <w:t>Barboni</w:t>
      </w:r>
      <w:proofErr w:type="spellEnd"/>
      <w:r w:rsidRPr="004D7EBC">
        <w:rPr>
          <w:lang w:val="en-US"/>
        </w:rPr>
        <w:t xml:space="preserve"> and Rossi (2012), who show that the probability of being rationed during the crisis is smaller for those firms primarily financed by local banks</w:t>
      </w:r>
      <w:r>
        <w:rPr>
          <w:vertAlign w:val="superscript"/>
        </w:rPr>
        <w:footnoteReference w:id="5"/>
      </w:r>
      <w:r w:rsidRPr="004D7EBC">
        <w:rPr>
          <w:lang w:val="en-US"/>
        </w:rPr>
        <w:t xml:space="preserve">. Among them, Cooperative Credit Banks (CCB) show a higher propensity to use qualitative information and take into account the existence of individual collaterals. From the beginning of 2008 to June 2012 their aggregates have increased at a double rate than that of the overall banking system, bringing their market share (June 2012) to 7.9% for loans and 8.4% for deposits. </w:t>
      </w:r>
      <w:proofErr w:type="spellStart"/>
      <w:r w:rsidRPr="004D7EBC">
        <w:rPr>
          <w:lang w:val="en-US"/>
        </w:rPr>
        <w:t>Presbitero</w:t>
      </w:r>
      <w:proofErr w:type="spellEnd"/>
      <w:r w:rsidRPr="004D7EBC">
        <w:rPr>
          <w:lang w:val="en-US"/>
        </w:rPr>
        <w:t xml:space="preserve"> et al. (2014) find that, after the bankruptcy of Lehman Brothers, Italian manufacturing firms located in Italian provinces with a large share of branches owned by locally managed banks were less affected by credit constraints. </w:t>
      </w:r>
      <w:proofErr w:type="spellStart"/>
      <w:r w:rsidRPr="004D7EBC">
        <w:rPr>
          <w:lang w:val="en-US"/>
        </w:rPr>
        <w:t>Deloof</w:t>
      </w:r>
      <w:proofErr w:type="spellEnd"/>
      <w:r w:rsidRPr="004D7EBC">
        <w:rPr>
          <w:lang w:val="en-US"/>
        </w:rPr>
        <w:t xml:space="preserve"> and La Rocca (2014) reveal that a higher degree of cooperative banking in a province is associated with a reduction of the demand for trade credit suggesting that the presence of cooperative banks has reduced the need for trade credit during the crisis in spite of the credit crunch. </w:t>
      </w:r>
      <w:proofErr w:type="spellStart"/>
      <w:r w:rsidRPr="004D7EBC">
        <w:rPr>
          <w:lang w:val="en-US"/>
        </w:rPr>
        <w:t>Vacca</w:t>
      </w:r>
      <w:proofErr w:type="spellEnd"/>
      <w:r w:rsidRPr="004D7EBC">
        <w:rPr>
          <w:lang w:val="en-US"/>
        </w:rPr>
        <w:t xml:space="preserve"> (2011) analyses the effects of the crisis on </w:t>
      </w:r>
      <w:r w:rsidRPr="004D7EBC">
        <w:rPr>
          <w:lang w:val="en-US"/>
        </w:rPr>
        <w:lastRenderedPageBreak/>
        <w:t>credit risk pricing finding that during the crisis the affiliation to one of the top five banking groups had a negative and significant effect on interest rates, while before the crisis the same variable is attached to positive coefficient (although not significant). In particular, the capability of banks in assessing the risk has been negatively affected by high organizational complexity and large geographical and functional distance between decision hubs and local firms. A companion study deals with the specific effect of relationship lending on interest rates on bank loans to firms during the crisis (</w:t>
      </w:r>
      <w:proofErr w:type="spellStart"/>
      <w:r w:rsidRPr="004D7EBC">
        <w:rPr>
          <w:lang w:val="en-US"/>
        </w:rPr>
        <w:t>Gambacorta</w:t>
      </w:r>
      <w:proofErr w:type="spellEnd"/>
      <w:r w:rsidRPr="004D7EBC">
        <w:rPr>
          <w:lang w:val="en-US"/>
        </w:rPr>
        <w:t xml:space="preserve"> and </w:t>
      </w:r>
      <w:proofErr w:type="spellStart"/>
      <w:r w:rsidRPr="004D7EBC">
        <w:rPr>
          <w:lang w:val="en-US"/>
        </w:rPr>
        <w:t>Mistrulli</w:t>
      </w:r>
      <w:proofErr w:type="spellEnd"/>
      <w:r w:rsidRPr="004D7EBC">
        <w:rPr>
          <w:lang w:val="en-US"/>
        </w:rPr>
        <w:t xml:space="preserve">, 2011). It shows that in the period June 2008 - March 2010 the spread between loan rates and the interbank rate increased less for those firms that had long and tight relationships with small banks than for other firms. </w:t>
      </w:r>
    </w:p>
    <w:p w:rsidR="008C613C" w:rsidRPr="004D7EBC" w:rsidRDefault="004D7EBC">
      <w:pPr>
        <w:rPr>
          <w:lang w:val="en-US"/>
        </w:rPr>
      </w:pPr>
      <w:r w:rsidRPr="004D7EBC">
        <w:rPr>
          <w:lang w:val="en-US"/>
        </w:rPr>
        <w:t xml:space="preserve">Therefore, data on bank loans during the crisis are at odds with the previous attitude of the banking sector. Before (and after) the crisis large banks has shown a higher rate of increase in credit supply than local ones, while during the crisis local banks were instead able to limit credit rationing. In particular, fiduciary relations have been able to curb the decrease in credit for firms experiencing an actual contraction in outstanding bank debt. Close lending relationships allowed firms to be more insulated from the effects of the financial crisis also in terms of interest rates. This holds regardless of how lending relationships are measured (functional distance between the bank and the borrower, concentration of lenders, length of borrowers’ credit history, etc.). Thus, the basic hypothesis is that during a financial crisis the relationship lending model is suitable to mitigate the credit crunch thanks to its distinctive features. After a financial turmoil, when systemic risk arises, uncertainties about borrower quality increase and financial intermediaries may see a reduction in available funding. As a result, banks tend to reduce their overall lending and tighten credit standards. However, banks relying on relationship lending are more reluctant. For these banks the choice to terminate relationships with existing borrowers is more harmful, provided that banks have invested in gathering soft information about their clients. One should therefore expect that relationship-oriented banks do not necessarily reduce the overall amount of loans after a financial turmoil. </w:t>
      </w:r>
    </w:p>
    <w:p w:rsidR="008C613C" w:rsidRPr="004D7EBC" w:rsidRDefault="004D7EBC">
      <w:pPr>
        <w:rPr>
          <w:lang w:val="en-US"/>
        </w:rPr>
      </w:pPr>
      <w:r w:rsidRPr="004D7EBC">
        <w:rPr>
          <w:lang w:val="en-US"/>
        </w:rPr>
        <w:t xml:space="preserve">On the other hand, there could be some demand side factors causing this particular set of banks to exhibit more positive changes in loan growth (or less loan contraction). In particular, local banks might be located in areas that were less affected by the crisis or lend to firms that were less affected by the crisis. Moreover, local banks may have clientele whose demand for credit is more or less sensitive to economic conditions, compared to the clientele of a national bank. Hence, a difference </w:t>
      </w:r>
      <w:r w:rsidRPr="004D7EBC">
        <w:rPr>
          <w:lang w:val="en-US"/>
        </w:rPr>
        <w:lastRenderedPageBreak/>
        <w:t>in sensitivity of loans outstanding to crisis may also be demand-driven rather than exclusively supply-driven. This further (albeit not necessarily alternative) explanation will be discussed along with the main hypothesis in the empirical analysis by introducing control variables that are related to loan demand and type of clientele. Unfortunately, our dataset does not provide full details on the clientele in order to properly take into account the different sensitiveness to economic recessions of specific types of customers.</w:t>
      </w:r>
    </w:p>
    <w:p w:rsidR="008C613C" w:rsidRPr="004D7EBC" w:rsidRDefault="008C613C">
      <w:pPr>
        <w:rPr>
          <w:lang w:val="en-US"/>
        </w:rPr>
      </w:pPr>
    </w:p>
    <w:p w:rsidR="008C613C" w:rsidRPr="004D7EBC" w:rsidRDefault="004D7EBC">
      <w:pPr>
        <w:rPr>
          <w:lang w:val="en-US"/>
        </w:rPr>
      </w:pPr>
      <w:r w:rsidRPr="004D7EBC">
        <w:rPr>
          <w:b/>
          <w:lang w:val="en-US"/>
        </w:rPr>
        <w:t>5. Italian local banks</w:t>
      </w:r>
    </w:p>
    <w:p w:rsidR="008C613C" w:rsidRPr="004D7EBC" w:rsidRDefault="004D7EBC">
      <w:pPr>
        <w:rPr>
          <w:lang w:val="en-US"/>
        </w:rPr>
      </w:pPr>
      <w:r w:rsidRPr="004D7EBC">
        <w:rPr>
          <w:lang w:val="en-US"/>
        </w:rPr>
        <w:t>In an economy like the Italian one, characterized by the fragmentation of the organization of productive activities and large imbalances between the different geographical areas, banking markets are highly segmented, while different types of intermediaries are not fully fungible. On the one hand, we find major players that tend to concentrate on the largest customers, using quantitative risk measurement methods. On the other hand, there is a vast array of banks that grounds on the relationship lending model for financing small firms whose accounts are often inadequate and opaque, and accordingly require direct knowledge of the business. Such banks, however, are not a homogeneous group and  show substantial difference in terms of ownership structure, governance, and size of the relevant community. Basically, we can identify the following three categories of Italian local banks:</w:t>
      </w:r>
    </w:p>
    <w:p w:rsidR="008C613C" w:rsidRDefault="004D7EBC">
      <w:pPr>
        <w:numPr>
          <w:ilvl w:val="0"/>
          <w:numId w:val="1"/>
        </w:numPr>
        <w:ind w:left="0" w:firstLine="0"/>
      </w:pPr>
      <w:r>
        <w:t>“</w:t>
      </w:r>
      <w:proofErr w:type="spellStart"/>
      <w:r>
        <w:t>Popular</w:t>
      </w:r>
      <w:proofErr w:type="spellEnd"/>
      <w:r>
        <w:t xml:space="preserve"> </w:t>
      </w:r>
      <w:proofErr w:type="spellStart"/>
      <w:r>
        <w:t>Banks</w:t>
      </w:r>
      <w:proofErr w:type="spellEnd"/>
      <w:r>
        <w:t>” (PB);</w:t>
      </w:r>
    </w:p>
    <w:p w:rsidR="008C613C" w:rsidRDefault="004D7EBC">
      <w:pPr>
        <w:numPr>
          <w:ilvl w:val="0"/>
          <w:numId w:val="1"/>
        </w:numPr>
        <w:ind w:left="0" w:firstLine="0"/>
      </w:pPr>
      <w:r>
        <w:t xml:space="preserve">Cooperative Credit </w:t>
      </w:r>
      <w:proofErr w:type="spellStart"/>
      <w:r>
        <w:t>Banks</w:t>
      </w:r>
      <w:proofErr w:type="spellEnd"/>
      <w:r>
        <w:t xml:space="preserve"> (CCB);</w:t>
      </w:r>
    </w:p>
    <w:p w:rsidR="008C613C" w:rsidRDefault="004D7EBC">
      <w:pPr>
        <w:numPr>
          <w:ilvl w:val="0"/>
          <w:numId w:val="1"/>
        </w:numPr>
        <w:ind w:left="0" w:firstLine="0"/>
      </w:pPr>
      <w:proofErr w:type="spellStart"/>
      <w:r>
        <w:t>Saving</w:t>
      </w:r>
      <w:proofErr w:type="spellEnd"/>
      <w:r>
        <w:t xml:space="preserve"> </w:t>
      </w:r>
      <w:proofErr w:type="spellStart"/>
      <w:r>
        <w:t>Banks</w:t>
      </w:r>
      <w:proofErr w:type="spellEnd"/>
      <w:r>
        <w:t xml:space="preserve"> (SB).</w:t>
      </w:r>
    </w:p>
    <w:p w:rsidR="008C613C" w:rsidRPr="004D7EBC" w:rsidRDefault="004D7EBC">
      <w:pPr>
        <w:rPr>
          <w:lang w:val="en-US"/>
        </w:rPr>
      </w:pPr>
      <w:r w:rsidRPr="004D7EBC">
        <w:rPr>
          <w:lang w:val="en-US"/>
        </w:rPr>
        <w:t xml:space="preserve">These banks have a complex history, which we cannot recall in this paper. We just remind that CCB and PB are characterized by a cooperative governance system based on the principle "one person-one vote" and by the presence of employees-shareholders. SB, instead, are public companies legally equalized to other commercial banks, pursuant to Law 218 of July 30, 1990 (“Amato Act”). During the last two decades a substantial part of them has been acquired by large banks or merged into a new entity that in its turn became a large national bank. </w:t>
      </w:r>
    </w:p>
    <w:p w:rsidR="008C613C" w:rsidRPr="004D7EBC" w:rsidRDefault="004D7EBC">
      <w:pPr>
        <w:rPr>
          <w:lang w:val="en-US"/>
        </w:rPr>
      </w:pPr>
      <w:r w:rsidRPr="004D7EBC">
        <w:rPr>
          <w:lang w:val="en-US"/>
        </w:rPr>
        <w:t xml:space="preserve">Following these classification, the label “LOC” is attached to all local banks, including those Saving Banks that are currently owned by large national banks but maintain an headquarter in their original region (“LOCDEP”). On the other hand, LOCAUT” label is attached to those local banks </w:t>
      </w:r>
      <w:r w:rsidRPr="004D7EBC">
        <w:rPr>
          <w:lang w:val="en-US"/>
        </w:rPr>
        <w:lastRenderedPageBreak/>
        <w:t>that have not been absorbed by major banks at the end of our period of analysis. The  distinction between LOCDEP and LOCAUT relies on the assumption that the former can be capable of differentiating loans at both geographical and industrial level while preserving the informational advantages coming from geographical proximity and the involvement in the local community. On the other hand, t</w:t>
      </w:r>
      <w:r>
        <w:rPr>
          <w:lang w:val="en-US"/>
        </w:rPr>
        <w:t>he latter</w:t>
      </w:r>
      <w:r w:rsidRPr="004D7EBC">
        <w:rPr>
          <w:lang w:val="en-US"/>
        </w:rPr>
        <w:t xml:space="preserve"> may have a stronger attitude towards the relationship lending model thanks to the higher branch officers’ delegated power.</w:t>
      </w:r>
      <w:r w:rsidR="008B701E">
        <w:rPr>
          <w:lang w:val="en-US"/>
        </w:rPr>
        <w:t xml:space="preserve"> </w:t>
      </w:r>
      <w:r w:rsidRPr="004D7EBC">
        <w:rPr>
          <w:lang w:val="en-US"/>
        </w:rPr>
        <w:t>Then we isolate cooperative banks (both PB and CCB) by introducing “MUT” label. Since the reform of SB, mutual banks are at the core of the system of Italian local banks. Thanks to their governance structure they are all rooted in the local system where they operate. Even before the crisis evidence shows that for small firms the probability of being rationed decreases when they have a cooperative bank as a privileged partner (</w:t>
      </w:r>
      <w:proofErr w:type="spellStart"/>
      <w:r w:rsidRPr="004D7EBC">
        <w:rPr>
          <w:lang w:val="en-US"/>
        </w:rPr>
        <w:t>Ferri</w:t>
      </w:r>
      <w:proofErr w:type="spellEnd"/>
      <w:r w:rsidRPr="004D7EBC">
        <w:rPr>
          <w:lang w:val="en-US"/>
        </w:rPr>
        <w:t xml:space="preserve"> and </w:t>
      </w:r>
      <w:proofErr w:type="spellStart"/>
      <w:r w:rsidRPr="004D7EBC">
        <w:rPr>
          <w:lang w:val="en-US"/>
        </w:rPr>
        <w:t>Messori</w:t>
      </w:r>
      <w:proofErr w:type="spellEnd"/>
      <w:r w:rsidRPr="004D7EBC">
        <w:rPr>
          <w:lang w:val="en-US"/>
        </w:rPr>
        <w:t xml:space="preserve">, 2000). For the same reason, cooperative banks can find difficult to diversify the loan portfolio and they can be excessively influenced by the evolution of the local economy in managing the risk, and even “captured" by their borrowers. Within this group we add “MUTURB” label to identify CCB and PB located in urban areas and “RUR” label to select those CCB that are located in rural areas in order to isolate the effect of the stronger emphasis on relationship lending that characterizes banking system in rural areas. </w:t>
      </w:r>
    </w:p>
    <w:p w:rsidR="008C613C" w:rsidRPr="004D7EBC" w:rsidRDefault="004D7EBC">
      <w:pPr>
        <w:rPr>
          <w:lang w:val="en-US"/>
        </w:rPr>
      </w:pPr>
      <w:r w:rsidRPr="004D7EBC">
        <w:rPr>
          <w:lang w:val="en-US"/>
        </w:rPr>
        <w:t xml:space="preserve">Within this framework different types of local banks are likely to show a different attitude towards the relationship lending model that is reflected in their </w:t>
      </w:r>
      <w:proofErr w:type="spellStart"/>
      <w:r w:rsidRPr="004D7EBC">
        <w:rPr>
          <w:lang w:val="en-US"/>
        </w:rPr>
        <w:t>behaviour</w:t>
      </w:r>
      <w:proofErr w:type="spellEnd"/>
      <w:r w:rsidRPr="004D7EBC">
        <w:rPr>
          <w:lang w:val="en-US"/>
        </w:rPr>
        <w:t xml:space="preserve"> during the crisis.  In particular we propose two non-mutually exclusive hypotheses that identify two categories of local banks potentially able to enjoy peculiar advantages during credit crunches and thus act as countercyclical credit suppliers in times of crisis. </w:t>
      </w:r>
    </w:p>
    <w:p w:rsidR="008C613C" w:rsidRPr="004D7EBC" w:rsidRDefault="004D7EBC">
      <w:pPr>
        <w:rPr>
          <w:lang w:val="en-US"/>
        </w:rPr>
      </w:pPr>
      <w:r w:rsidRPr="004D7EBC">
        <w:rPr>
          <w:lang w:val="en-US"/>
        </w:rPr>
        <w:t xml:space="preserve">First, relationship lending and anti-cyclical attitude are expected to be accentuated by CCB located in rural areas (RUR) for the combination between their ownership structure and their knowledge of the local community. Their location </w:t>
      </w:r>
      <w:proofErr w:type="spellStart"/>
      <w:r w:rsidRPr="004D7EBC">
        <w:rPr>
          <w:lang w:val="en-US"/>
        </w:rPr>
        <w:t>favours</w:t>
      </w:r>
      <w:proofErr w:type="spellEnd"/>
      <w:r w:rsidRPr="004D7EBC">
        <w:rPr>
          <w:lang w:val="en-US"/>
        </w:rPr>
        <w:t xml:space="preserve"> the information flow and the fiduciary relationship between the banks and the borrowers, which are typically represented by small firms operating in the relevant local system of production. Such banks are deemed to have wide information on borrowers’ characteristics than mutual banks operating in urban areas (MUTURB) due to the rarefaction of private information in such contexts (</w:t>
      </w:r>
      <w:proofErr w:type="spellStart"/>
      <w:r w:rsidRPr="004D7EBC">
        <w:rPr>
          <w:lang w:val="en-US"/>
        </w:rPr>
        <w:t>Pittaluga</w:t>
      </w:r>
      <w:proofErr w:type="spellEnd"/>
      <w:r w:rsidRPr="004D7EBC">
        <w:rPr>
          <w:lang w:val="en-US"/>
        </w:rPr>
        <w:t xml:space="preserve"> et al., 2004). Moreover, while many mutual urban banks have become major players during the first 2000s, rural mutual banks have maintained the traditional features of community banks: they rarely have credit ratings, and </w:t>
      </w:r>
      <w:r w:rsidRPr="004D7EBC">
        <w:rPr>
          <w:lang w:val="en-US"/>
        </w:rPr>
        <w:lastRenderedPageBreak/>
        <w:t>typically face inelastic deposit markets. Accordingly, in the Italian framework mutual rural banks (RUR) represent the paradigmatic case of community banks operating in restricted territorial areas (</w:t>
      </w:r>
      <w:proofErr w:type="spellStart"/>
      <w:r w:rsidRPr="004D7EBC">
        <w:rPr>
          <w:lang w:val="en-US"/>
        </w:rPr>
        <w:t>Deloof</w:t>
      </w:r>
      <w:proofErr w:type="spellEnd"/>
      <w:r w:rsidRPr="004D7EBC">
        <w:rPr>
          <w:lang w:val="en-US"/>
        </w:rPr>
        <w:t xml:space="preserve"> and La Rocca, 2015), perfectly fitting with the idea of relationship lending to small businesses as a counterbalancing factor of the pro-cyclicality of credit supply (DeYoung et al., 2015). We thus expect to see a negative effect of rural mutual banks on credit supply before and after the crisis while the coefficient is expected to be positive or at least non-significant during the crisis. </w:t>
      </w:r>
    </w:p>
    <w:p w:rsidR="008C613C" w:rsidRPr="004D7EBC" w:rsidRDefault="004D7EBC">
      <w:pPr>
        <w:rPr>
          <w:lang w:val="en-US"/>
        </w:rPr>
      </w:pPr>
      <w:r w:rsidRPr="004D7EBC">
        <w:rPr>
          <w:lang w:val="en-US"/>
        </w:rPr>
        <w:t xml:space="preserve">Our second hypothesis concerns non-independent Saving Banks (LOCDEP) to the extent that they can partially enjoy the comparative advantages of both national and local banks. On the one hand, they can reduce the obstacles to provide relationship lending that characterize large national banks. Hierarchical national banks are usually deemed to be less able to make relationship-based loans due to the functional distance between loan officer and the headquarters (Berger et al., 2001;   </w:t>
      </w:r>
      <w:proofErr w:type="spellStart"/>
      <w:r w:rsidRPr="004D7EBC">
        <w:rPr>
          <w:lang w:val="en-US"/>
        </w:rPr>
        <w:t>Alessandrini</w:t>
      </w:r>
      <w:proofErr w:type="spellEnd"/>
      <w:r w:rsidRPr="004D7EBC">
        <w:rPr>
          <w:lang w:val="en-US"/>
        </w:rPr>
        <w:t xml:space="preserve"> et al, 2010), whose adverse effect on credit supply has been particularly pronounced after the collapse of Lehman Brothers (</w:t>
      </w:r>
      <w:proofErr w:type="spellStart"/>
      <w:r w:rsidRPr="004D7EBC">
        <w:rPr>
          <w:lang w:val="en-US"/>
        </w:rPr>
        <w:t>Presbitero</w:t>
      </w:r>
      <w:proofErr w:type="spellEnd"/>
      <w:r w:rsidRPr="004D7EBC">
        <w:rPr>
          <w:lang w:val="en-US"/>
        </w:rPr>
        <w:t xml:space="preserve"> et al., 2014).  Despite their ownership, local non-independent banks can address this drawback by maintaining a locally-based headquarter and decentralizing lending decisions (Canales and </w:t>
      </w:r>
      <w:proofErr w:type="spellStart"/>
      <w:r w:rsidRPr="004D7EBC">
        <w:rPr>
          <w:lang w:val="en-US"/>
        </w:rPr>
        <w:t>Landa</w:t>
      </w:r>
      <w:proofErr w:type="spellEnd"/>
      <w:r w:rsidRPr="004D7EBC">
        <w:rPr>
          <w:lang w:val="en-US"/>
        </w:rPr>
        <w:t xml:space="preserve">, 2012). On the other hand, local non-independent banks can use large banks’ lending technologies, such as small business credit scoring and asset-based lending, that in some cases are well-suited for funding small opaque firms (Berger and </w:t>
      </w:r>
      <w:proofErr w:type="spellStart"/>
      <w:r w:rsidRPr="004D7EBC">
        <w:rPr>
          <w:lang w:val="en-US"/>
        </w:rPr>
        <w:t>Udell</w:t>
      </w:r>
      <w:proofErr w:type="spellEnd"/>
      <w:r w:rsidRPr="004D7EBC">
        <w:rPr>
          <w:lang w:val="en-US"/>
        </w:rPr>
        <w:t xml:space="preserve">, 2006). Overall, local non-independent banks can fruitfully combine a strategic commitment to relationship lending with the use of sophisticated risk management techniques made available by their controlling shareholders. Thanks to this double-edge model in SMEs lending one can reasonably expect that local non-independent banks have not suffered pro-cyclical credit reduction in times of expansion while they have relatively increased their credit supply during the crisis. </w:t>
      </w:r>
    </w:p>
    <w:p w:rsidR="008C613C" w:rsidRPr="004D7EBC" w:rsidRDefault="008C613C">
      <w:pPr>
        <w:rPr>
          <w:lang w:val="en-US"/>
        </w:rPr>
      </w:pPr>
    </w:p>
    <w:p w:rsidR="008C613C" w:rsidRPr="004D7EBC" w:rsidRDefault="008C613C">
      <w:pPr>
        <w:rPr>
          <w:lang w:val="en-US"/>
        </w:rPr>
      </w:pPr>
    </w:p>
    <w:p w:rsidR="008C613C" w:rsidRPr="004D7EBC" w:rsidRDefault="008C613C">
      <w:pPr>
        <w:rPr>
          <w:lang w:val="en-US"/>
        </w:rPr>
      </w:pPr>
    </w:p>
    <w:p w:rsidR="008C613C" w:rsidRPr="004D7EBC" w:rsidRDefault="004D7EBC">
      <w:pPr>
        <w:rPr>
          <w:lang w:val="en-US"/>
        </w:rPr>
      </w:pPr>
      <w:r w:rsidRPr="004D7EBC">
        <w:rPr>
          <w:b/>
          <w:lang w:val="en-US"/>
        </w:rPr>
        <w:t xml:space="preserve">6. Dataset and descriptive statistics </w:t>
      </w:r>
    </w:p>
    <w:p w:rsidR="008C613C" w:rsidRPr="004D7EBC" w:rsidRDefault="004D7EBC">
      <w:pPr>
        <w:rPr>
          <w:lang w:val="en-US"/>
        </w:rPr>
      </w:pPr>
      <w:r w:rsidRPr="004D7EBC">
        <w:rPr>
          <w:lang w:val="en-US"/>
        </w:rPr>
        <w:t xml:space="preserve">Bank level data used in this study are obtained from different sources. Unconsolidated accounting figures are derived from </w:t>
      </w:r>
      <w:proofErr w:type="spellStart"/>
      <w:r w:rsidRPr="004D7EBC">
        <w:rPr>
          <w:lang w:val="en-US"/>
        </w:rPr>
        <w:t>Bankscope</w:t>
      </w:r>
      <w:proofErr w:type="spellEnd"/>
      <w:r w:rsidRPr="004D7EBC">
        <w:rPr>
          <w:lang w:val="en-US"/>
        </w:rPr>
        <w:t xml:space="preserve"> database, which contains annual balance sheet data of European </w:t>
      </w:r>
      <w:r w:rsidRPr="004D7EBC">
        <w:rPr>
          <w:lang w:val="en-US"/>
        </w:rPr>
        <w:lastRenderedPageBreak/>
        <w:t xml:space="preserve">banks and other information about their history and ownership. Information on governance structure and on the degree of independence of the bank is derived from balance sheets and internet sites of the involved banks. Interest rate data are obtained from the yearly reports published by the Bank of Italy on the costs of Italian Treasury Bonds. The final sample is made by 606 banks and covers a six-year period, from 2006 to 2011, characterized by the explosion of the financial crisis. </w:t>
      </w:r>
    </w:p>
    <w:p w:rsidR="008C613C" w:rsidRPr="004D7EBC" w:rsidRDefault="004D7EBC">
      <w:pPr>
        <w:rPr>
          <w:lang w:val="en-US"/>
        </w:rPr>
      </w:pPr>
      <w:r w:rsidRPr="004D7EBC">
        <w:rPr>
          <w:lang w:val="en-US"/>
        </w:rPr>
        <w:t xml:space="preserve">Tables 1, 2a and 2b show the main descriptive statistics of our variables of interests with regard to  the overall sample and to different types of local banks. Notably, Table 1 reports the distribution of Italian banks in terms of size, geographical distribution, independence, governance structure. Local banks (LOC) amount approximately to 500 entities (84.5% of the sample), whose majority (90.1%) is also independent from other banks in terms of ownership (LOCAUT) while the residual 9.9% is represented by local non-independent banks (LOCDEP) . Among LOCAUT, however, the majority are represented by cooperative banks (MUT). Actually, only 8 </w:t>
      </w:r>
      <w:r w:rsidR="008B701E">
        <w:rPr>
          <w:lang w:val="en-US"/>
        </w:rPr>
        <w:t>of them</w:t>
      </w:r>
      <w:r w:rsidRPr="004D7EBC">
        <w:rPr>
          <w:lang w:val="en-US"/>
        </w:rPr>
        <w:t xml:space="preserve"> are independent Saving Banks (LOCAUTSB). Due to this overlapping between LOCAUT and MUT, we exclude LOCAUT and LOCAUTSB from descriptive statistics and subsequent analysis. MUT banks includes 76 intermediaries located in urban areas (MUTURB), mainly “Popular Banks”, and 368 CCB in rural areas (RUR) which represent 60.7% of the overall sample in absolute terms. The weight of local banks however is narrower if we look to its size. National banks cover 66% of the loans and 71% of the assets. Among local banks, the largest category in terms of assets and loans is MUTURB while RUR are characterized by very small size on average. Their share amounts to 4% of the loans and 4% of the assets, although they are the most frequent category. Overall, MUT banks cover 22% of the overall loans and 20% of the assets. During the period of interest the ratio of loans on assets grew at an average rate of 7.28%, while the percentage change in loans amounted to 20.02% (Table 2a). This percentage slightly decrease for local banks (16.6%), particularly for rural mutual banks (12.0%). On the other hand, local banks show better performance in terms of   income and interest margin while profitability indexes are slightly lower (Table 2b). In particular, in terms of profitability RUR show the best performanc</w:t>
      </w:r>
      <w:r w:rsidR="00580BEF">
        <w:rPr>
          <w:lang w:val="en-US"/>
        </w:rPr>
        <w:t>e</w:t>
      </w:r>
      <w:r w:rsidR="00A23677">
        <w:rPr>
          <w:lang w:val="en-US"/>
        </w:rPr>
        <w:t xml:space="preserve"> </w:t>
      </w:r>
      <w:r w:rsidR="00A23677" w:rsidRPr="00CE10F8">
        <w:rPr>
          <w:highlight w:val="yellow"/>
          <w:lang w:val="en-US"/>
        </w:rPr>
        <w:t>while</w:t>
      </w:r>
      <w:r w:rsidR="00A23677">
        <w:rPr>
          <w:lang w:val="en-US"/>
        </w:rPr>
        <w:t xml:space="preserve"> </w:t>
      </w:r>
      <w:r w:rsidRPr="004D7EBC">
        <w:rPr>
          <w:lang w:val="en-US"/>
        </w:rPr>
        <w:t>LOCDEP are slightly smaller than MUTURB with better performance in terms of the main profitability indexes (ROE and ROA)</w:t>
      </w:r>
      <w:r w:rsidR="008B701E">
        <w:rPr>
          <w:lang w:val="en-US"/>
        </w:rPr>
        <w:t>.</w:t>
      </w:r>
      <w:r w:rsidRPr="004D7EBC">
        <w:rPr>
          <w:lang w:val="en-US"/>
        </w:rPr>
        <w:t xml:space="preserve"> </w:t>
      </w:r>
    </w:p>
    <w:p w:rsidR="008C613C" w:rsidRPr="004D7EBC" w:rsidRDefault="004D7EBC">
      <w:pPr>
        <w:rPr>
          <w:lang w:val="en-US"/>
        </w:rPr>
      </w:pPr>
      <w:r w:rsidRPr="004D7EBC">
        <w:rPr>
          <w:lang w:val="en-US"/>
        </w:rPr>
        <w:t xml:space="preserve">Because Italy is characterized by strong territorial differences that significantly affects credit market, it is also worthwhile to distinguish the Italian region where local banks do operate. In this respect, the largest fraction of local banks is based in the North-East (NE) of Italy, while the lowest </w:t>
      </w:r>
      <w:r w:rsidRPr="004D7EBC">
        <w:rPr>
          <w:lang w:val="en-US"/>
        </w:rPr>
        <w:lastRenderedPageBreak/>
        <w:t>share of local banks is located in the North-West (NW) where the main national banks are currently based. This distribution is mainly related to the crucial role traditionally played by local banks in the North-Eastern and in the Central part of the country. In these areas the loss of GDP was, however, in line with the one experienced at country-level during 2008-2009. In the  north-east region the fall of the GDP was even higher than in the rest of the country (the cumulative decrease has been -7.6% against 6.7% of the rest of the country). This supports the idea that the countercyclical role of local banks is not related to their geographical location. During 2008-2009 Italian demand figures are negative across the whole country. The decline of the aggregate demand is not concentrated in specific regions or in rural areas.</w:t>
      </w:r>
    </w:p>
    <w:p w:rsidR="008C613C" w:rsidRPr="004D7EBC" w:rsidRDefault="008C613C">
      <w:pPr>
        <w:rPr>
          <w:lang w:val="en-US"/>
        </w:rPr>
      </w:pPr>
    </w:p>
    <w:p w:rsidR="008C613C" w:rsidRPr="004D7EBC" w:rsidRDefault="004D7EBC">
      <w:pPr>
        <w:rPr>
          <w:lang w:val="en-US"/>
        </w:rPr>
      </w:pPr>
      <w:r w:rsidRPr="004D7EBC">
        <w:rPr>
          <w:lang w:val="en-US"/>
        </w:rPr>
        <w:t>&lt;Table 1&gt;</w:t>
      </w:r>
    </w:p>
    <w:p w:rsidR="008C613C" w:rsidRPr="004D7EBC" w:rsidRDefault="008C613C">
      <w:pPr>
        <w:rPr>
          <w:lang w:val="en-US"/>
        </w:rPr>
      </w:pPr>
    </w:p>
    <w:p w:rsidR="008C613C" w:rsidRPr="004D7EBC" w:rsidRDefault="004D7EBC">
      <w:pPr>
        <w:rPr>
          <w:lang w:val="en-US"/>
        </w:rPr>
      </w:pPr>
      <w:r w:rsidRPr="004D7EBC">
        <w:rPr>
          <w:lang w:val="en-US"/>
        </w:rPr>
        <w:t>&lt;Table 2&gt;</w:t>
      </w:r>
    </w:p>
    <w:p w:rsidR="008C613C" w:rsidRPr="004D7EBC" w:rsidRDefault="008C613C">
      <w:pPr>
        <w:rPr>
          <w:lang w:val="en-US"/>
        </w:rPr>
      </w:pPr>
    </w:p>
    <w:p w:rsidR="008C613C" w:rsidRPr="004D7EBC" w:rsidRDefault="004D7EBC">
      <w:pPr>
        <w:rPr>
          <w:lang w:val="en-US"/>
        </w:rPr>
      </w:pPr>
      <w:r w:rsidRPr="004D7EBC">
        <w:rPr>
          <w:b/>
          <w:lang w:val="en-US"/>
        </w:rPr>
        <w:t>7. Estimation strategy</w:t>
      </w:r>
      <w:r w:rsidRPr="004D7EBC">
        <w:rPr>
          <w:lang w:val="en-US"/>
        </w:rPr>
        <w:t xml:space="preserve"> </w:t>
      </w:r>
    </w:p>
    <w:p w:rsidR="008C613C" w:rsidRPr="004D7EBC" w:rsidRDefault="004D7EBC">
      <w:pPr>
        <w:rPr>
          <w:lang w:val="en-US"/>
        </w:rPr>
      </w:pPr>
      <w:r w:rsidRPr="004D7EBC">
        <w:rPr>
          <w:lang w:val="en-US"/>
        </w:rPr>
        <w:t xml:space="preserve">In line with the theoretical and empirical literature, we investigate local banks’ response to the crisis in terms of credit supply. Once it’s acknowledged that local banks reacted to the financial distress better than non-local banks thanks to their advantage in collecting information, we need to disentangle the different types of local banks in order to understand whether all of them performed well or, if negative, which group has been better able to address adverse selection problems and eventually mitigate the credit crunch faced by the Italian credit market during the crisis. </w:t>
      </w:r>
    </w:p>
    <w:p w:rsidR="008C613C" w:rsidRPr="004D7EBC" w:rsidRDefault="004D7EBC">
      <w:pPr>
        <w:rPr>
          <w:lang w:val="en-US"/>
        </w:rPr>
      </w:pPr>
      <w:r w:rsidRPr="004D7EBC">
        <w:rPr>
          <w:lang w:val="en-US"/>
        </w:rPr>
        <w:t xml:space="preserve">By looking at credit supply of Italian banks over the covered period, we estimate bank characteristics’ effects on credit </w:t>
      </w:r>
      <w:r w:rsidRPr="004D7EBC">
        <w:rPr>
          <w:color w:val="FF0000"/>
          <w:u w:val="single"/>
          <w:lang w:val="en-US"/>
        </w:rPr>
        <w:t>tightening controlling for</w:t>
      </w:r>
      <w:r w:rsidRPr="004D7EBC">
        <w:rPr>
          <w:lang w:val="en-US"/>
        </w:rPr>
        <w:t xml:space="preserve"> the crisis period and for other exogenous variables. Notably, assuming that the global financial crisis has been exogenous with respect to the Italian banking system, and that loan rates are endogenous, our benchmark regression is the following: </w:t>
      </w:r>
    </w:p>
    <w:p w:rsidR="008C613C" w:rsidRPr="004D7EBC" w:rsidRDefault="008C613C">
      <w:pPr>
        <w:rPr>
          <w:lang w:val="en-US"/>
        </w:rPr>
      </w:pPr>
    </w:p>
    <w:p w:rsidR="008C613C" w:rsidRPr="004D7EBC" w:rsidRDefault="004D7EBC">
      <w:pPr>
        <w:jc w:val="center"/>
        <w:rPr>
          <w:lang w:val="en-US"/>
        </w:rPr>
      </w:pPr>
      <m:oMath>
        <m:r>
          <w:rPr>
            <w:rFonts w:ascii="Cambria Math" w:hAnsi="Cambria Math"/>
            <w:lang w:val="en-US"/>
          </w:rPr>
          <m:t>VARL</m:t>
        </m:r>
        <m:sSub>
          <m:sSubPr>
            <m:ctrlPr>
              <w:rPr>
                <w:rFonts w:ascii="Cambria Math" w:hAnsi="Cambria Math"/>
                <w:i/>
                <w:lang w:val="en-US"/>
              </w:rPr>
            </m:ctrlPr>
          </m:sSubPr>
          <m:e>
            <m:r>
              <w:rPr>
                <w:rFonts w:ascii="Cambria Math" w:hAnsi="Cambria Math"/>
                <w:lang w:val="en-US"/>
              </w:rPr>
              <m:t>OA</m:t>
            </m:r>
          </m:e>
          <m:sub>
            <m:r>
              <w:rPr>
                <w:rFonts w:ascii="Cambria Math" w:hAnsi="Cambria Math"/>
                <w:lang w:val="en-US"/>
              </w:rPr>
              <m:t>it</m:t>
            </m:r>
          </m:sub>
        </m:sSub>
        <m:r>
          <w:rPr>
            <w:rFonts w:ascii="Cambria Math" w:hAnsi="Cambria Math"/>
            <w:lang w:val="en-US"/>
          </w:rPr>
          <m:t>=αi+</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m:t>
            </m:r>
          </m:sub>
        </m:sSub>
        <m:r>
          <w:rPr>
            <w:rFonts w:ascii="Cambria Math" w:hAnsi="Cambria Math"/>
            <w:lang w:val="en-US"/>
          </w:rPr>
          <m:t>CRS+</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2</m:t>
            </m:r>
          </m:sub>
        </m:sSub>
        <m:r>
          <w:rPr>
            <w:rFonts w:ascii="Cambria Math" w:hAnsi="Cambria Math"/>
            <w:lang w:val="en-US"/>
          </w:rPr>
          <m:t>TYPE+</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3</m:t>
            </m:r>
          </m:sub>
        </m:sSub>
        <m:r>
          <w:rPr>
            <w:rFonts w:ascii="Cambria Math" w:hAnsi="Cambria Math"/>
            <w:lang w:val="en-US"/>
          </w:rPr>
          <m:t>AREA+</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4</m:t>
            </m:r>
          </m:sub>
        </m:sSub>
        <m:sSub>
          <m:sSubPr>
            <m:ctrlPr>
              <w:rPr>
                <w:rFonts w:ascii="Cambria Math" w:hAnsi="Cambria Math"/>
                <w:i/>
                <w:lang w:val="en-US"/>
              </w:rPr>
            </m:ctrlPr>
          </m:sSubPr>
          <m:e>
            <m:r>
              <w:rPr>
                <w:rFonts w:ascii="Cambria Math" w:hAnsi="Cambria Math"/>
                <w:lang w:val="en-US"/>
              </w:rPr>
              <m:t>CAP</m:t>
            </m:r>
          </m:e>
          <m:sub>
            <m:r>
              <w:rPr>
                <w:rFonts w:ascii="Cambria Math" w:hAnsi="Cambria Math"/>
                <w:lang w:val="en-US"/>
              </w:rPr>
              <m:t>i,t-1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5</m:t>
            </m:r>
          </m:sub>
        </m:sSub>
        <m:sSub>
          <m:sSubPr>
            <m:ctrlPr>
              <w:rPr>
                <w:rFonts w:ascii="Cambria Math" w:hAnsi="Cambria Math"/>
                <w:i/>
                <w:lang w:val="en-US"/>
              </w:rPr>
            </m:ctrlPr>
          </m:sSubPr>
          <m:e>
            <m:r>
              <w:rPr>
                <w:rFonts w:ascii="Cambria Math" w:hAnsi="Cambria Math"/>
                <w:lang w:val="en-US"/>
              </w:rPr>
              <m:t>PROF</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6</m:t>
            </m:r>
          </m:sub>
        </m:sSub>
        <m:sSub>
          <m:sSubPr>
            <m:ctrlPr>
              <w:rPr>
                <w:rFonts w:ascii="Cambria Math" w:hAnsi="Cambria Math"/>
                <w:i/>
                <w:lang w:val="en-US"/>
              </w:rPr>
            </m:ctrlPr>
          </m:sSubPr>
          <m:e>
            <m:r>
              <w:rPr>
                <w:rFonts w:ascii="Cambria Math" w:hAnsi="Cambria Math"/>
                <w:lang w:val="en-US"/>
              </w:rPr>
              <m:t>LIQ</m:t>
            </m:r>
          </m:e>
          <m:sub>
            <m:r>
              <w:rPr>
                <w:rFonts w:ascii="Cambria Math" w:hAnsi="Cambria Math"/>
                <w:lang w:val="en-US"/>
              </w:rPr>
              <m:t>it-1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7</m:t>
            </m:r>
          </m:sub>
        </m:sSub>
        <m:sSub>
          <m:sSubPr>
            <m:ctrlPr>
              <w:rPr>
                <w:rFonts w:ascii="Cambria Math" w:hAnsi="Cambria Math"/>
                <w:i/>
                <w:lang w:val="en-US"/>
              </w:rPr>
            </m:ctrlPr>
          </m:sSubPr>
          <m:e>
            <m:r>
              <w:rPr>
                <w:rFonts w:ascii="Cambria Math" w:hAnsi="Cambria Math"/>
                <w:lang w:val="en-US"/>
              </w:rPr>
              <m:t>RISK</m:t>
            </m:r>
          </m:e>
          <m:sub>
            <m:r>
              <w:rPr>
                <w:rFonts w:ascii="Cambria Math" w:hAnsi="Cambria Math"/>
                <w:lang w:val="en-US"/>
              </w:rPr>
              <m:t>i,t-1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8</m:t>
            </m:r>
          </m:sub>
        </m:sSub>
        <m:sSub>
          <m:sSubPr>
            <m:ctrlPr>
              <w:rPr>
                <w:rFonts w:ascii="Cambria Math" w:hAnsi="Cambria Math"/>
                <w:i/>
                <w:lang w:val="en-US"/>
              </w:rPr>
            </m:ctrlPr>
          </m:sSubPr>
          <m:e>
            <m:r>
              <w:rPr>
                <w:rFonts w:ascii="Cambria Math" w:hAnsi="Cambria Math"/>
                <w:lang w:val="en-US"/>
              </w:rPr>
              <m:t>DIV</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9</m:t>
            </m:r>
          </m:sub>
        </m:sSub>
        <m:sSub>
          <m:sSubPr>
            <m:ctrlPr>
              <w:rPr>
                <w:rFonts w:ascii="Cambria Math" w:hAnsi="Cambria Math"/>
                <w:i/>
                <w:lang w:val="en-US"/>
              </w:rPr>
            </m:ctrlPr>
          </m:sSubPr>
          <m:e>
            <m:r>
              <w:rPr>
                <w:rFonts w:ascii="Cambria Math" w:hAnsi="Cambria Math"/>
                <w:lang w:val="en-US"/>
              </w:rPr>
              <m:t>INTBANK</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10</m:t>
            </m:r>
          </m:sub>
        </m:sSub>
        <m:sSub>
          <m:sSubPr>
            <m:ctrlPr>
              <w:rPr>
                <w:rFonts w:ascii="Cambria Math" w:hAnsi="Cambria Math"/>
                <w:i/>
                <w:lang w:val="en-US"/>
              </w:rPr>
            </m:ctrlPr>
          </m:sSubPr>
          <m:e>
            <m:r>
              <w:rPr>
                <w:rFonts w:ascii="Cambria Math" w:hAnsi="Cambria Math"/>
                <w:lang w:val="en-US"/>
              </w:rPr>
              <m:t>SIZE</m:t>
            </m:r>
          </m:e>
          <m:sub>
            <m:r>
              <w:rPr>
                <w:rFonts w:ascii="Cambria Math" w:hAnsi="Cambria Math"/>
                <w:lang w:val="en-US"/>
              </w:rPr>
              <m:t>i,t-1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11</m:t>
            </m:r>
          </m:sub>
        </m:sSub>
        <m:sSub>
          <m:sSubPr>
            <m:ctrlPr>
              <w:rPr>
                <w:rFonts w:ascii="Cambria Math" w:hAnsi="Cambria Math"/>
                <w:i/>
                <w:lang w:val="en-US"/>
              </w:rPr>
            </m:ctrlPr>
          </m:sSubPr>
          <m:e>
            <m:r>
              <w:rPr>
                <w:rFonts w:ascii="Cambria Math" w:hAnsi="Cambria Math"/>
                <w:lang w:val="en-US"/>
              </w:rPr>
              <m:t>DEP</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12</m:t>
            </m:r>
          </m:sub>
        </m:sSub>
        <m:sSub>
          <m:sSubPr>
            <m:ctrlPr>
              <w:rPr>
                <w:rFonts w:ascii="Cambria Math" w:hAnsi="Cambria Math"/>
                <w:i/>
                <w:lang w:val="en-US"/>
              </w:rPr>
            </m:ctrlPr>
          </m:sSubPr>
          <m:e>
            <m:r>
              <w:rPr>
                <w:rFonts w:ascii="Cambria Math" w:hAnsi="Cambria Math"/>
                <w:lang w:val="en-US"/>
              </w:rPr>
              <m:t>TBOND</m:t>
            </m:r>
          </m:e>
          <m:sub>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13</m:t>
            </m:r>
          </m:sub>
        </m:sSub>
        <m:r>
          <w:rPr>
            <w:rFonts w:ascii="Cambria Math" w:hAnsi="Cambria Math"/>
            <w:lang w:val="en-US"/>
          </w:rPr>
          <m:t>LISTED+</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14</m:t>
            </m:r>
          </m:sub>
        </m:sSub>
        <m:sSub>
          <m:sSubPr>
            <m:ctrlPr>
              <w:rPr>
                <w:rFonts w:ascii="Cambria Math" w:hAnsi="Cambria Math"/>
                <w:i/>
                <w:lang w:val="en-US"/>
              </w:rPr>
            </m:ctrlPr>
          </m:sSubPr>
          <m:e>
            <m:r>
              <w:rPr>
                <w:rFonts w:ascii="Cambria Math" w:hAnsi="Cambria Math"/>
                <w:lang w:val="en-US"/>
              </w:rPr>
              <m:t>DEM</m:t>
            </m:r>
          </m:e>
          <m:sub>
            <m:r>
              <w:rPr>
                <w:rFonts w:ascii="Cambria Math" w:hAnsi="Cambria Math"/>
                <w:lang w:val="en-US"/>
              </w:rPr>
              <m:t>i,t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it</m:t>
            </m:r>
          </m:sub>
        </m:sSub>
      </m:oMath>
      <w:r w:rsidRPr="004D7EBC">
        <w:rPr>
          <w:lang w:val="en-US"/>
        </w:rPr>
        <w:tab/>
      </w:r>
      <w:r w:rsidRPr="004D7EBC">
        <w:rPr>
          <w:lang w:val="en-US"/>
        </w:rPr>
        <w:tab/>
      </w:r>
      <w:r w:rsidRPr="004D7EBC">
        <w:rPr>
          <w:lang w:val="en-US"/>
        </w:rPr>
        <w:tab/>
      </w:r>
      <w:r w:rsidRPr="004D7EBC">
        <w:rPr>
          <w:lang w:val="en-US"/>
        </w:rPr>
        <w:tab/>
      </w:r>
      <w:r w:rsidRPr="004D7EBC">
        <w:rPr>
          <w:lang w:val="en-US"/>
        </w:rPr>
        <w:tab/>
      </w:r>
      <w:r w:rsidRPr="004D7EBC">
        <w:rPr>
          <w:lang w:val="en-US"/>
        </w:rPr>
        <w:tab/>
      </w:r>
      <w:r w:rsidRPr="004D7EBC">
        <w:rPr>
          <w:lang w:val="en-US"/>
        </w:rPr>
        <w:tab/>
        <w:t>[1]</w:t>
      </w:r>
    </w:p>
    <w:p w:rsidR="008C613C" w:rsidRPr="004D7EBC" w:rsidRDefault="008C613C">
      <w:pPr>
        <w:rPr>
          <w:lang w:val="en-US"/>
        </w:rPr>
      </w:pPr>
    </w:p>
    <w:p w:rsidR="008C613C" w:rsidRPr="004D7EBC" w:rsidRDefault="008C613C">
      <w:pPr>
        <w:rPr>
          <w:lang w:val="en-US"/>
        </w:rPr>
      </w:pPr>
    </w:p>
    <w:p w:rsidR="008C613C" w:rsidRPr="004D7EBC" w:rsidRDefault="004D7EBC">
      <w:pPr>
        <w:rPr>
          <w:lang w:val="en-US"/>
        </w:rPr>
      </w:pPr>
      <w:r w:rsidRPr="004D7EBC">
        <w:rPr>
          <w:lang w:val="en-US"/>
        </w:rPr>
        <w:t>The dependent variable is given by the change in credit supply (VAR</w:t>
      </w:r>
      <w:r w:rsidRPr="004D7EBC">
        <w:rPr>
          <w:smallCaps/>
          <w:lang w:val="en-US"/>
        </w:rPr>
        <w:t>LOA)</w:t>
      </w:r>
      <w:r w:rsidRPr="004D7EBC">
        <w:rPr>
          <w:lang w:val="en-US"/>
        </w:rPr>
        <w:t xml:space="preserve"> which equals the percentage yearly change in loans between </w:t>
      </w:r>
      <w:r w:rsidRPr="004D7EBC">
        <w:rPr>
          <w:i/>
          <w:lang w:val="en-US"/>
        </w:rPr>
        <w:t>t</w:t>
      </w:r>
      <w:r w:rsidRPr="004D7EBC">
        <w:rPr>
          <w:lang w:val="en-US"/>
        </w:rPr>
        <w:t xml:space="preserve"> and </w:t>
      </w:r>
      <w:r w:rsidRPr="004D7EBC">
        <w:rPr>
          <w:i/>
          <w:lang w:val="en-US"/>
        </w:rPr>
        <w:t>t-1</w:t>
      </w:r>
      <w:r w:rsidRPr="004D7EBC">
        <w:rPr>
          <w:lang w:val="en-US"/>
        </w:rPr>
        <w:t xml:space="preserve">, (i.e. a growth rate of loans). An alternative measure (VARLOA2) is obtained by scaling the change in loans by previous period assets. The explanatory variable is CRS which is a dummy that takes the value 1 for the period 2008-2009 and zero otherwise. During that period all Italian regions experienced a considerable decrease of their GDP. As usual, </w:t>
      </w:r>
      <w:r>
        <w:rPr>
          <w:i/>
        </w:rPr>
        <w:t>α</w:t>
      </w:r>
      <w:proofErr w:type="spellStart"/>
      <w:r w:rsidRPr="004D7EBC">
        <w:rPr>
          <w:i/>
          <w:vertAlign w:val="subscript"/>
          <w:lang w:val="en-US"/>
        </w:rPr>
        <w:t>i</w:t>
      </w:r>
      <w:proofErr w:type="spellEnd"/>
      <w:r w:rsidRPr="004D7EBC">
        <w:rPr>
          <w:i/>
          <w:lang w:val="en-US"/>
        </w:rPr>
        <w:t xml:space="preserve"> </w:t>
      </w:r>
      <w:r w:rsidRPr="004D7EBC">
        <w:rPr>
          <w:lang w:val="en-US"/>
        </w:rPr>
        <w:t xml:space="preserve"> is the unobserved individual effect, and </w:t>
      </w:r>
      <w:r>
        <w:rPr>
          <w:i/>
        </w:rPr>
        <w:t>ε</w:t>
      </w:r>
      <w:r w:rsidRPr="004D7EBC">
        <w:rPr>
          <w:i/>
          <w:vertAlign w:val="subscript"/>
          <w:lang w:val="en-US"/>
        </w:rPr>
        <w:t>it</w:t>
      </w:r>
      <w:r w:rsidRPr="004D7EBC">
        <w:rPr>
          <w:i/>
          <w:lang w:val="en-US"/>
        </w:rPr>
        <w:t xml:space="preserve"> </w:t>
      </w:r>
      <w:r w:rsidRPr="004D7EBC">
        <w:rPr>
          <w:lang w:val="en-US"/>
        </w:rPr>
        <w:t xml:space="preserve">is the error term. Other explanatory variables are identified by banks’ characteristics (TYPE), as already defined in Section 4. In order to test our hypothesis we use LOCDEP, MUTURB and RUR dummies . </w:t>
      </w:r>
    </w:p>
    <w:p w:rsidR="008C613C" w:rsidRPr="004D7EBC" w:rsidRDefault="004D7EBC">
      <w:pPr>
        <w:rPr>
          <w:lang w:val="en-US"/>
        </w:rPr>
      </w:pPr>
      <w:r w:rsidRPr="004D7EBC">
        <w:rPr>
          <w:lang w:val="en-US"/>
        </w:rPr>
        <w:t>Control variables can be divided into 10 groups. CAP</w:t>
      </w:r>
      <w:r w:rsidRPr="004D7EBC">
        <w:rPr>
          <w:vertAlign w:val="subscript"/>
          <w:lang w:val="en-US"/>
        </w:rPr>
        <w:t xml:space="preserve"> </w:t>
      </w:r>
      <w:r w:rsidRPr="004D7EBC">
        <w:rPr>
          <w:lang w:val="en-US"/>
        </w:rPr>
        <w:t xml:space="preserve">deals with bank’s equity and leverage and is </w:t>
      </w:r>
      <w:proofErr w:type="spellStart"/>
      <w:r w:rsidRPr="004D7EBC">
        <w:rPr>
          <w:lang w:val="en-US"/>
        </w:rPr>
        <w:t>proxied</w:t>
      </w:r>
      <w:proofErr w:type="spellEnd"/>
      <w:r w:rsidRPr="004D7EBC">
        <w:rPr>
          <w:lang w:val="en-US"/>
        </w:rPr>
        <w:t xml:space="preserve"> by capital ratio. PROF</w:t>
      </w:r>
      <w:r w:rsidRPr="004D7EBC">
        <w:rPr>
          <w:vertAlign w:val="subscript"/>
          <w:lang w:val="en-US"/>
        </w:rPr>
        <w:t xml:space="preserve"> </w:t>
      </w:r>
      <w:r w:rsidRPr="004D7EBC">
        <w:rPr>
          <w:lang w:val="en-US"/>
        </w:rPr>
        <w:t>serves as a proxy of profitability and is measured by ROAA (return on average assets), ROAE (return on average equity). LIQ is given by the ratio of liquid assets to total assets. RISK</w:t>
      </w:r>
      <w:r w:rsidRPr="004D7EBC">
        <w:rPr>
          <w:vertAlign w:val="subscript"/>
          <w:lang w:val="en-US"/>
        </w:rPr>
        <w:t xml:space="preserve"> </w:t>
      </w:r>
      <w:r w:rsidRPr="004D7EBC">
        <w:rPr>
          <w:lang w:val="en-US"/>
        </w:rPr>
        <w:t>includes variables related to financial fragility, namely the share of impaired assets on total assets, and the ratio of non-performing loans on reserves</w:t>
      </w:r>
      <w:r>
        <w:rPr>
          <w:vertAlign w:val="superscript"/>
        </w:rPr>
        <w:footnoteReference w:id="6"/>
      </w:r>
      <w:r w:rsidRPr="004D7EBC">
        <w:rPr>
          <w:lang w:val="en-US"/>
        </w:rPr>
        <w:t xml:space="preserve">. The underlying hypotheses are that banks with a deteriorated index of riskiness decreased their lending during the crisis. DIV reflects bank diversification strategies and includes the share of other operating assets as a proxy of the weight of secondary businesses. INTBANK measures the banks’ recourse to the interbank market: the ratio of loans awarded to other banks. The underlying hypothesis is that banks that initially relied on the interbank market reduced their lending more aggressively during the crisis. AREA is identified by a set of time-invariant dummies (North-West, North-East, Centre and South) representing the geographical area of reference for local banks. Other control variables include the log of banks’ total assets (SIZE), the ratio of deposits to total assets (DEP), the interest rate granted to one-year-duration Italian Treasury Bond issued on December of year t (TBOND), and a dummy variables that take the value 1 if the bank is listed in financial markets (LISTED). We use one period lagged value for CAP, LIQ, and RISK covariates in order to mitigate endogeneity problems. Finally, we take into account the demand-side factors by adding DEM matrix which includes </w:t>
      </w:r>
      <w:r w:rsidRPr="004D7EBC">
        <w:rPr>
          <w:lang w:val="en-US"/>
        </w:rPr>
        <w:lastRenderedPageBreak/>
        <w:t xml:space="preserve">variable measuring of the percent change of household income (HOU_INC) and unemployment rate (UNEM) in the region of interest if the bank is classified as local while the variables are referred to the aggregate data at country-level if the bank is classified as national. In a further  specification DEM matrix also includes the ratio of non-commercial loans on total assets in order to control banks’ loan portfolio composition. </w:t>
      </w:r>
    </w:p>
    <w:p w:rsidR="008C613C" w:rsidRPr="004D7EBC" w:rsidRDefault="004D7EBC">
      <w:pPr>
        <w:rPr>
          <w:lang w:val="en-US"/>
        </w:rPr>
      </w:pPr>
      <w:r w:rsidRPr="004D7EBC">
        <w:rPr>
          <w:lang w:val="en-US"/>
        </w:rPr>
        <w:t xml:space="preserve">Then in order to measure the role of different categories of banks in affecting loan supply during the crisis, we interact CRS with each of the bank type dummies. In this way we can test not only whether the financial crisis was associated with a reduction of the loan supply, but also whether this effect is different according to the type of bank. Accordingly, we also run this second equation </w:t>
      </w:r>
    </w:p>
    <w:p w:rsidR="008C613C" w:rsidRPr="004D7EBC" w:rsidRDefault="004D7EBC">
      <w:pPr>
        <w:rPr>
          <w:lang w:val="en-US"/>
        </w:rPr>
      </w:pPr>
      <w:r w:rsidRPr="004D7EBC">
        <w:rPr>
          <w:lang w:val="en-US"/>
        </w:rPr>
        <w:t xml:space="preserve"> </w:t>
      </w:r>
    </w:p>
    <w:p w:rsidR="008C613C" w:rsidRPr="004D7EBC" w:rsidRDefault="004D7EBC">
      <w:pPr>
        <w:jc w:val="center"/>
        <w:rPr>
          <w:lang w:val="en-US"/>
        </w:rPr>
      </w:pPr>
      <m:oMath>
        <m:r>
          <w:rPr>
            <w:rFonts w:ascii="Cambria Math" w:hAnsi="Cambria Math"/>
            <w:lang w:val="en-US"/>
          </w:rPr>
          <m:t>VARL</m:t>
        </m:r>
        <m:sSub>
          <m:sSubPr>
            <m:ctrlPr>
              <w:rPr>
                <w:rFonts w:ascii="Cambria Math" w:hAnsi="Cambria Math"/>
                <w:i/>
                <w:lang w:val="en-US"/>
              </w:rPr>
            </m:ctrlPr>
          </m:sSubPr>
          <m:e>
            <m:r>
              <w:rPr>
                <w:rFonts w:ascii="Cambria Math" w:hAnsi="Cambria Math"/>
                <w:lang w:val="en-US"/>
              </w:rPr>
              <m:t>OA</m:t>
            </m:r>
          </m:e>
          <m:sub>
            <m:r>
              <w:rPr>
                <w:rFonts w:ascii="Cambria Math" w:hAnsi="Cambria Math"/>
                <w:lang w:val="en-US"/>
              </w:rPr>
              <m:t>it</m:t>
            </m:r>
          </m:sub>
        </m:sSub>
        <m:r>
          <w:rPr>
            <w:rFonts w:ascii="Cambria Math" w:hAnsi="Cambria Math"/>
            <w:lang w:val="en-US"/>
          </w:rPr>
          <m:t>=αi+</m:t>
        </m:r>
        <m:sSub>
          <m:sSubPr>
            <m:ctrlPr>
              <w:rPr>
                <w:rFonts w:ascii="Cambria Math" w:hAnsi="Cambria Math"/>
                <w:i/>
                <w:lang w:val="en-US"/>
              </w:rPr>
            </m:ctrlPr>
          </m:sSubPr>
          <m:e>
            <m:r>
              <w:rPr>
                <w:rFonts w:ascii="Cambria Math" w:hAnsi="Cambria Math"/>
                <w:lang w:val="en-US"/>
              </w:rPr>
              <m:t>βnon-p</m:t>
            </m:r>
          </m:e>
          <m:sub>
            <m:r>
              <w:rPr>
                <w:rFonts w:ascii="Cambria Math" w:hAnsi="Cambria Math"/>
                <w:lang w:val="en-US"/>
              </w:rPr>
              <m:t>1</m:t>
            </m:r>
          </m:sub>
        </m:sSub>
        <m:r>
          <w:rPr>
            <w:rFonts w:ascii="Cambria Math" w:hAnsi="Cambria Math"/>
            <w:lang w:val="en-US"/>
          </w:rPr>
          <m:t>CRS+</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2</m:t>
            </m:r>
          </m:sub>
        </m:sSub>
        <m:r>
          <w:rPr>
            <w:rFonts w:ascii="Cambria Math" w:hAnsi="Cambria Math"/>
            <w:lang w:val="en-US"/>
          </w:rPr>
          <m:t>TYPE+</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3</m:t>
            </m:r>
          </m:sub>
        </m:sSub>
        <m:r>
          <w:rPr>
            <w:rFonts w:ascii="Cambria Math" w:hAnsi="Cambria Math"/>
            <w:lang w:val="en-US"/>
          </w:rPr>
          <m:t>CRS*TYPE+</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4</m:t>
            </m:r>
          </m:sub>
        </m:sSub>
        <m:r>
          <w:rPr>
            <w:rFonts w:ascii="Cambria Math" w:hAnsi="Cambria Math"/>
            <w:lang w:val="en-US"/>
          </w:rPr>
          <m:t>AREA+</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5</m:t>
            </m:r>
          </m:sub>
        </m:sSub>
        <m:sSub>
          <m:sSubPr>
            <m:ctrlPr>
              <w:rPr>
                <w:rFonts w:ascii="Cambria Math" w:hAnsi="Cambria Math"/>
                <w:i/>
                <w:lang w:val="en-US"/>
              </w:rPr>
            </m:ctrlPr>
          </m:sSubPr>
          <m:e>
            <m:r>
              <w:rPr>
                <w:rFonts w:ascii="Cambria Math" w:hAnsi="Cambria Math"/>
                <w:lang w:val="en-US"/>
              </w:rPr>
              <m:t>CAP</m:t>
            </m:r>
          </m:e>
          <m:sub>
            <m:r>
              <w:rPr>
                <w:rFonts w:ascii="Cambria Math" w:hAnsi="Cambria Math"/>
                <w:lang w:val="en-US"/>
              </w:rPr>
              <m:t>i,t-1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6</m:t>
            </m:r>
          </m:sub>
        </m:sSub>
        <m:sSub>
          <m:sSubPr>
            <m:ctrlPr>
              <w:rPr>
                <w:rFonts w:ascii="Cambria Math" w:hAnsi="Cambria Math"/>
                <w:i/>
                <w:lang w:val="en-US"/>
              </w:rPr>
            </m:ctrlPr>
          </m:sSubPr>
          <m:e>
            <m:r>
              <w:rPr>
                <w:rFonts w:ascii="Cambria Math" w:hAnsi="Cambria Math"/>
                <w:lang w:val="en-US"/>
              </w:rPr>
              <m:t>PROF</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7</m:t>
            </m:r>
          </m:sub>
        </m:sSub>
        <m:sSub>
          <m:sSubPr>
            <m:ctrlPr>
              <w:rPr>
                <w:rFonts w:ascii="Cambria Math" w:hAnsi="Cambria Math"/>
                <w:i/>
                <w:lang w:val="en-US"/>
              </w:rPr>
            </m:ctrlPr>
          </m:sSubPr>
          <m:e>
            <m:r>
              <w:rPr>
                <w:rFonts w:ascii="Cambria Math" w:hAnsi="Cambria Math"/>
                <w:lang w:val="en-US"/>
              </w:rPr>
              <m:t>LIQ</m:t>
            </m:r>
          </m:e>
          <m:sub>
            <m:r>
              <w:rPr>
                <w:rFonts w:ascii="Cambria Math" w:hAnsi="Cambria Math"/>
                <w:lang w:val="en-US"/>
              </w:rPr>
              <m:t>i,t-1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8</m:t>
            </m:r>
          </m:sub>
        </m:sSub>
        <m:sSub>
          <m:sSubPr>
            <m:ctrlPr>
              <w:rPr>
                <w:rFonts w:ascii="Cambria Math" w:hAnsi="Cambria Math"/>
                <w:i/>
                <w:lang w:val="en-US"/>
              </w:rPr>
            </m:ctrlPr>
          </m:sSubPr>
          <m:e>
            <m:r>
              <w:rPr>
                <w:rFonts w:ascii="Cambria Math" w:hAnsi="Cambria Math"/>
                <w:lang w:val="en-US"/>
              </w:rPr>
              <m:t>RISK</m:t>
            </m:r>
          </m:e>
          <m:sub>
            <m:r>
              <w:rPr>
                <w:rFonts w:ascii="Cambria Math" w:hAnsi="Cambria Math"/>
                <w:lang w:val="en-US"/>
              </w:rPr>
              <m:t>i,t-1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9</m:t>
            </m:r>
          </m:sub>
        </m:sSub>
        <m:sSub>
          <m:sSubPr>
            <m:ctrlPr>
              <w:rPr>
                <w:rFonts w:ascii="Cambria Math" w:hAnsi="Cambria Math"/>
                <w:i/>
                <w:lang w:val="en-US"/>
              </w:rPr>
            </m:ctrlPr>
          </m:sSubPr>
          <m:e>
            <m:r>
              <w:rPr>
                <w:rFonts w:ascii="Cambria Math" w:hAnsi="Cambria Math"/>
                <w:lang w:val="en-US"/>
              </w:rPr>
              <m:t>DIV</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10</m:t>
            </m:r>
          </m:sub>
        </m:sSub>
        <m:sSub>
          <m:sSubPr>
            <m:ctrlPr>
              <w:rPr>
                <w:rFonts w:ascii="Cambria Math" w:hAnsi="Cambria Math"/>
                <w:i/>
                <w:lang w:val="en-US"/>
              </w:rPr>
            </m:ctrlPr>
          </m:sSubPr>
          <m:e>
            <m:r>
              <w:rPr>
                <w:rFonts w:ascii="Cambria Math" w:hAnsi="Cambria Math"/>
                <w:lang w:val="en-US"/>
              </w:rPr>
              <m:t>INTBANK</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11</m:t>
            </m:r>
          </m:sub>
        </m:sSub>
        <m:sSub>
          <m:sSubPr>
            <m:ctrlPr>
              <w:rPr>
                <w:rFonts w:ascii="Cambria Math" w:hAnsi="Cambria Math"/>
                <w:i/>
                <w:lang w:val="en-US"/>
              </w:rPr>
            </m:ctrlPr>
          </m:sSubPr>
          <m:e>
            <m:r>
              <w:rPr>
                <w:rFonts w:ascii="Cambria Math" w:hAnsi="Cambria Math"/>
                <w:lang w:val="en-US"/>
              </w:rPr>
              <m:t>SIZE</m:t>
            </m:r>
          </m:e>
          <m:sub>
            <m:r>
              <w:rPr>
                <w:rFonts w:ascii="Cambria Math" w:hAnsi="Cambria Math"/>
                <w:lang w:val="en-US"/>
              </w:rPr>
              <m:t>it-1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12</m:t>
            </m:r>
          </m:sub>
        </m:sSub>
        <m:sSub>
          <m:sSubPr>
            <m:ctrlPr>
              <w:rPr>
                <w:rFonts w:ascii="Cambria Math" w:hAnsi="Cambria Math"/>
                <w:i/>
                <w:lang w:val="en-US"/>
              </w:rPr>
            </m:ctrlPr>
          </m:sSubPr>
          <m:e>
            <m:r>
              <w:rPr>
                <w:rFonts w:ascii="Cambria Math" w:hAnsi="Cambria Math"/>
                <w:lang w:val="en-US"/>
              </w:rPr>
              <m:t>DEP</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13</m:t>
            </m:r>
          </m:sub>
        </m:sSub>
        <m:sSub>
          <m:sSubPr>
            <m:ctrlPr>
              <w:rPr>
                <w:rFonts w:ascii="Cambria Math" w:hAnsi="Cambria Math"/>
                <w:i/>
                <w:lang w:val="en-US"/>
              </w:rPr>
            </m:ctrlPr>
          </m:sSubPr>
          <m:e>
            <m:r>
              <w:rPr>
                <w:rFonts w:ascii="Cambria Math" w:hAnsi="Cambria Math"/>
                <w:lang w:val="en-US"/>
              </w:rPr>
              <m:t>TBOND</m:t>
            </m:r>
          </m:e>
          <m:sub>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14</m:t>
            </m:r>
          </m:sub>
        </m:sSub>
        <m:r>
          <w:rPr>
            <w:rFonts w:ascii="Cambria Math" w:hAnsi="Cambria Math"/>
            <w:lang w:val="en-US"/>
          </w:rPr>
          <m:t>LISTED+</m:t>
        </m:r>
        <m:sSub>
          <m:sSubPr>
            <m:ctrlPr>
              <w:rPr>
                <w:rFonts w:ascii="Cambria Math" w:hAnsi="Cambria Math"/>
                <w:i/>
                <w:lang w:val="en-US"/>
              </w:rPr>
            </m:ctrlPr>
          </m:sSubPr>
          <m:e>
            <m:r>
              <w:rPr>
                <w:rFonts w:ascii="Cambria Math" w:hAnsi="Cambria Math"/>
                <w:lang w:val="en-US"/>
              </w:rPr>
              <m:t>β</m:t>
            </m:r>
          </m:e>
          <m:sub>
            <m:r>
              <w:rPr>
                <w:rFonts w:ascii="Cambria Math" w:hAnsi="Cambria Math"/>
                <w:lang w:val="en-US"/>
              </w:rPr>
              <m:t>15</m:t>
            </m:r>
          </m:sub>
        </m:sSub>
        <m:r>
          <w:rPr>
            <w:rFonts w:ascii="Cambria Math" w:hAnsi="Cambria Math"/>
            <w:lang w:val="en-US"/>
          </w:rPr>
          <m:t xml:space="preserve">DEM+ </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it</m:t>
            </m:r>
          </m:sub>
        </m:sSub>
      </m:oMath>
      <w:r w:rsidRPr="004D7EBC">
        <w:rPr>
          <w:lang w:val="en-US"/>
        </w:rPr>
        <w:tab/>
      </w:r>
      <w:r w:rsidRPr="004D7EBC">
        <w:rPr>
          <w:lang w:val="en-US"/>
        </w:rPr>
        <w:tab/>
      </w:r>
      <w:r w:rsidRPr="004D7EBC">
        <w:rPr>
          <w:lang w:val="en-US"/>
        </w:rPr>
        <w:tab/>
      </w:r>
      <w:r w:rsidRPr="004D7EBC">
        <w:rPr>
          <w:lang w:val="en-US"/>
        </w:rPr>
        <w:tab/>
      </w:r>
      <w:r w:rsidRPr="004D7EBC">
        <w:rPr>
          <w:lang w:val="en-US"/>
        </w:rPr>
        <w:tab/>
      </w:r>
      <w:r w:rsidRPr="004D7EBC">
        <w:rPr>
          <w:lang w:val="en-US"/>
        </w:rPr>
        <w:tab/>
      </w:r>
      <w:r w:rsidRPr="004D7EBC">
        <w:rPr>
          <w:lang w:val="en-US"/>
        </w:rPr>
        <w:tab/>
        <w:t>[2]</w:t>
      </w:r>
    </w:p>
    <w:p w:rsidR="008C613C" w:rsidRPr="004D7EBC" w:rsidRDefault="008C613C">
      <w:pPr>
        <w:rPr>
          <w:lang w:val="en-US"/>
        </w:rPr>
      </w:pPr>
    </w:p>
    <w:p w:rsidR="008C613C" w:rsidRPr="004D7EBC" w:rsidRDefault="004D7EBC">
      <w:pPr>
        <w:rPr>
          <w:lang w:val="en-US"/>
        </w:rPr>
      </w:pPr>
      <w:r w:rsidRPr="004D7EBC">
        <w:rPr>
          <w:lang w:val="en-US"/>
        </w:rPr>
        <w:t xml:space="preserve">Since time-invariant explanatory variables are important for our baseline specification, we perform the pretest estimator suggested by </w:t>
      </w:r>
      <w:proofErr w:type="spellStart"/>
      <w:r w:rsidRPr="004D7EBC">
        <w:rPr>
          <w:lang w:val="en-US"/>
        </w:rPr>
        <w:t>Baltagi</w:t>
      </w:r>
      <w:proofErr w:type="spellEnd"/>
      <w:r w:rsidRPr="004D7EBC">
        <w:rPr>
          <w:lang w:val="en-US"/>
        </w:rPr>
        <w:t xml:space="preserve"> et al. (2003), which is based upon two </w:t>
      </w:r>
      <w:proofErr w:type="spellStart"/>
      <w:r w:rsidRPr="004D7EBC">
        <w:rPr>
          <w:lang w:val="en-US"/>
        </w:rPr>
        <w:t>Hausman</w:t>
      </w:r>
      <w:proofErr w:type="spellEnd"/>
      <w:r w:rsidRPr="004D7EBC">
        <w:rPr>
          <w:lang w:val="en-US"/>
        </w:rPr>
        <w:t xml:space="preserve"> tests. Having rejected random effect estimator in </w:t>
      </w:r>
      <w:proofErr w:type="spellStart"/>
      <w:r w:rsidRPr="004D7EBC">
        <w:rPr>
          <w:lang w:val="en-US"/>
        </w:rPr>
        <w:t>favour</w:t>
      </w:r>
      <w:proofErr w:type="spellEnd"/>
      <w:r w:rsidRPr="004D7EBC">
        <w:rPr>
          <w:lang w:val="en-US"/>
        </w:rPr>
        <w:t xml:space="preserve"> of the fixed effect estimator (FE), we compare the latter with the </w:t>
      </w:r>
      <w:proofErr w:type="spellStart"/>
      <w:r w:rsidRPr="004D7EBC">
        <w:rPr>
          <w:lang w:val="en-US"/>
        </w:rPr>
        <w:t>Hausman</w:t>
      </w:r>
      <w:proofErr w:type="spellEnd"/>
      <w:r w:rsidRPr="004D7EBC">
        <w:rPr>
          <w:lang w:val="en-US"/>
        </w:rPr>
        <w:t xml:space="preserve">-Taylor (HT) estimator. As the choice of strictly exogenous </w:t>
      </w:r>
      <w:proofErr w:type="spellStart"/>
      <w:r w:rsidRPr="004D7EBC">
        <w:rPr>
          <w:lang w:val="en-US"/>
        </w:rPr>
        <w:t>regressors</w:t>
      </w:r>
      <w:proofErr w:type="spellEnd"/>
      <w:r w:rsidRPr="004D7EBC">
        <w:rPr>
          <w:lang w:val="en-US"/>
        </w:rPr>
        <w:t xml:space="preserve"> is not rejected, the HT estimator is more efficient if the equation is </w:t>
      </w:r>
      <w:proofErr w:type="spellStart"/>
      <w:r w:rsidRPr="004D7EBC">
        <w:rPr>
          <w:lang w:val="en-US"/>
        </w:rPr>
        <w:t>overidentified</w:t>
      </w:r>
      <w:proofErr w:type="spellEnd"/>
      <w:r w:rsidRPr="004D7EBC">
        <w:rPr>
          <w:lang w:val="en-US"/>
        </w:rPr>
        <w:t xml:space="preserve">. In turn the </w:t>
      </w:r>
      <w:proofErr w:type="spellStart"/>
      <w:r w:rsidRPr="004D7EBC">
        <w:rPr>
          <w:lang w:val="en-US"/>
        </w:rPr>
        <w:t>overidentifying</w:t>
      </w:r>
      <w:proofErr w:type="spellEnd"/>
      <w:r w:rsidRPr="004D7EBC">
        <w:rPr>
          <w:lang w:val="en-US"/>
        </w:rPr>
        <w:t xml:space="preserve"> condition requires the number of time-varying exogenous variables to be greater than the number of time-invariant endogenous variables, which is satisfied in our equation. Hence, HT estimator can be regarded as a suitable methodology for our analysis. Additionally, a part from holding time-invariant variables, HT estimator allows some of the variables, but not all, to be correlated with the unobserved random effect by taking into account the bias in the estimation of a dynamic panel with predetermined endogenous variables through internal instruments (Nickell, 1981).  </w:t>
      </w:r>
    </w:p>
    <w:p w:rsidR="008C613C" w:rsidRPr="004D7EBC" w:rsidRDefault="008C613C">
      <w:pPr>
        <w:rPr>
          <w:lang w:val="en-US"/>
        </w:rPr>
      </w:pPr>
    </w:p>
    <w:p w:rsidR="008C613C" w:rsidRPr="004D7EBC" w:rsidRDefault="004D7EBC">
      <w:pPr>
        <w:rPr>
          <w:lang w:val="en-US"/>
        </w:rPr>
      </w:pPr>
      <w:r w:rsidRPr="004D7EBC">
        <w:rPr>
          <w:b/>
          <w:lang w:val="en-US"/>
        </w:rPr>
        <w:t xml:space="preserve">8. Results </w:t>
      </w:r>
    </w:p>
    <w:p w:rsidR="008C613C" w:rsidRPr="004D7EBC" w:rsidRDefault="004D7EBC">
      <w:pPr>
        <w:rPr>
          <w:lang w:val="en-US"/>
        </w:rPr>
      </w:pPr>
      <w:r w:rsidRPr="004D7EBC">
        <w:rPr>
          <w:lang w:val="en-US"/>
        </w:rPr>
        <w:lastRenderedPageBreak/>
        <w:t>Table 3 shows the results of the main regression in both specifications [1] and [2] by using VARLOA and VARLOA2 as dependent variables. Across the whole period 2006-2011 local banks did not contribute to mitigate credit rationing. In particular, CCB located in rural areas (RUR) are associated with a strong and significant negative effect on VARLOA while a smaller, but still significant coefficient is associated with MUTURB (first and fifth column of Table 3). Once we</w:t>
      </w:r>
      <w:r w:rsidR="00674023">
        <w:rPr>
          <w:lang w:val="en-US"/>
        </w:rPr>
        <w:t xml:space="preserve"> add the </w:t>
      </w:r>
      <w:r w:rsidRPr="004D7EBC">
        <w:rPr>
          <w:lang w:val="en-US"/>
        </w:rPr>
        <w:t>interact</w:t>
      </w:r>
      <w:r w:rsidR="00674023">
        <w:rPr>
          <w:lang w:val="en-US"/>
        </w:rPr>
        <w:t>ion</w:t>
      </w:r>
      <w:r w:rsidRPr="004D7EBC">
        <w:rPr>
          <w:lang w:val="en-US"/>
        </w:rPr>
        <w:t xml:space="preserve"> </w:t>
      </w:r>
      <w:r w:rsidR="00674023">
        <w:rPr>
          <w:lang w:val="en-US"/>
        </w:rPr>
        <w:t xml:space="preserve">between </w:t>
      </w:r>
      <w:r w:rsidRPr="004D7EBC">
        <w:rPr>
          <w:lang w:val="en-US"/>
        </w:rPr>
        <w:t xml:space="preserve">TYPE </w:t>
      </w:r>
      <w:r w:rsidR="00674023">
        <w:rPr>
          <w:lang w:val="en-US"/>
        </w:rPr>
        <w:t>and</w:t>
      </w:r>
      <w:r w:rsidR="00674023" w:rsidRPr="004D7EBC">
        <w:rPr>
          <w:lang w:val="en-US"/>
        </w:rPr>
        <w:t xml:space="preserve"> </w:t>
      </w:r>
      <w:r w:rsidRPr="004D7EBC">
        <w:rPr>
          <w:lang w:val="en-US"/>
        </w:rPr>
        <w:t>CRS</w:t>
      </w:r>
      <w:r w:rsidR="009A4297">
        <w:rPr>
          <w:lang w:val="en-US"/>
        </w:rPr>
        <w:t xml:space="preserve"> to the baseline specification</w:t>
      </w:r>
      <w:r w:rsidR="005E65F0">
        <w:rPr>
          <w:lang w:val="en-US"/>
        </w:rPr>
        <w:t xml:space="preserve"> and control for UNEM and HOU_INC (i.e. our proxies of local demand)</w:t>
      </w:r>
      <w:r w:rsidRPr="004D7EBC">
        <w:rPr>
          <w:lang w:val="en-US"/>
        </w:rPr>
        <w:t>, however, the negative effect is only attached to RUR (seventh column of Table 3)</w:t>
      </w:r>
      <w:r w:rsidR="005E65F0">
        <w:rPr>
          <w:lang w:val="en-US"/>
        </w:rPr>
        <w:t xml:space="preserve"> and, to a lower extent, to LOCDEP</w:t>
      </w:r>
      <w:r w:rsidRPr="004D7EBC">
        <w:rPr>
          <w:lang w:val="en-US"/>
        </w:rPr>
        <w:t xml:space="preserve">. </w:t>
      </w:r>
      <w:r w:rsidR="00674023">
        <w:rPr>
          <w:lang w:val="en-US"/>
        </w:rPr>
        <w:t>Combined</w:t>
      </w:r>
      <w:r w:rsidRPr="004D7EBC">
        <w:rPr>
          <w:lang w:val="en-US"/>
        </w:rPr>
        <w:t xml:space="preserve"> with the null (non-significant) coefficient of the interacting variable</w:t>
      </w:r>
      <w:r w:rsidR="005E65F0">
        <w:rPr>
          <w:lang w:val="en-US"/>
        </w:rPr>
        <w:t>s</w:t>
      </w:r>
      <w:r w:rsidRPr="004D7EBC">
        <w:rPr>
          <w:lang w:val="en-US"/>
        </w:rPr>
        <w:t xml:space="preserve"> RUR*CRS</w:t>
      </w:r>
      <w:r w:rsidR="005E65F0">
        <w:rPr>
          <w:lang w:val="en-US"/>
        </w:rPr>
        <w:t xml:space="preserve"> and LOCDEP*CRS</w:t>
      </w:r>
      <w:r w:rsidR="00674023">
        <w:rPr>
          <w:lang w:val="en-US"/>
        </w:rPr>
        <w:t>, this</w:t>
      </w:r>
      <w:r w:rsidRPr="004D7EBC">
        <w:rPr>
          <w:lang w:val="en-US"/>
        </w:rPr>
        <w:t xml:space="preserve"> indicates that the </w:t>
      </w:r>
      <w:r w:rsidR="009A4297">
        <w:rPr>
          <w:lang w:val="en-US"/>
        </w:rPr>
        <w:t xml:space="preserve">effect </w:t>
      </w:r>
      <w:r w:rsidRPr="004D7EBC">
        <w:rPr>
          <w:lang w:val="en-US"/>
        </w:rPr>
        <w:t xml:space="preserve">of </w:t>
      </w:r>
      <w:r w:rsidR="005E65F0">
        <w:rPr>
          <w:lang w:val="en-US"/>
        </w:rPr>
        <w:t xml:space="preserve">local </w:t>
      </w:r>
      <w:r w:rsidR="005E65F0" w:rsidRPr="005E65F0">
        <w:rPr>
          <w:lang w:val="en-US"/>
        </w:rPr>
        <w:t xml:space="preserve">non-independent </w:t>
      </w:r>
      <w:r w:rsidR="005E65F0">
        <w:rPr>
          <w:lang w:val="en-US"/>
        </w:rPr>
        <w:t xml:space="preserve">and </w:t>
      </w:r>
      <w:r w:rsidRPr="004D7EBC">
        <w:rPr>
          <w:lang w:val="en-US"/>
        </w:rPr>
        <w:t xml:space="preserve">rural mutual banks </w:t>
      </w:r>
      <w:r w:rsidR="009A4297">
        <w:rPr>
          <w:lang w:val="en-US"/>
        </w:rPr>
        <w:t>on</w:t>
      </w:r>
      <w:r w:rsidR="00674023">
        <w:rPr>
          <w:lang w:val="en-US"/>
        </w:rPr>
        <w:t xml:space="preserve"> </w:t>
      </w:r>
      <w:r w:rsidR="00674023" w:rsidRPr="00674023">
        <w:rPr>
          <w:lang w:val="en-US"/>
        </w:rPr>
        <w:t xml:space="preserve">credit supply </w:t>
      </w:r>
      <w:r w:rsidR="00674023">
        <w:rPr>
          <w:lang w:val="en-US"/>
        </w:rPr>
        <w:t xml:space="preserve">actually </w:t>
      </w:r>
      <w:r w:rsidRPr="004D7EBC">
        <w:rPr>
          <w:lang w:val="en-US"/>
        </w:rPr>
        <w:t xml:space="preserve">changed during the crisis. </w:t>
      </w:r>
      <w:r w:rsidR="005E65F0">
        <w:rPr>
          <w:lang w:val="en-US"/>
        </w:rPr>
        <w:t>Additionally</w:t>
      </w:r>
      <w:r w:rsidRPr="004D7EBC">
        <w:rPr>
          <w:lang w:val="en-US"/>
        </w:rPr>
        <w:t xml:space="preserve">, when using VARLOA2 as the dependent variable, we find that local non independent banks (LOCDEP) have no significant effects on credit supply during the overall period and in normal times, while the loan growth is about 17%  during the crisis. On the contrary the summation of MUTURB and MUTURB*CRISIS coefficients </w:t>
      </w:r>
      <w:r w:rsidRPr="00CE10F8">
        <w:rPr>
          <w:highlight w:val="yellow"/>
          <w:lang w:val="en-US"/>
        </w:rPr>
        <w:t>indicate</w:t>
      </w:r>
      <w:r w:rsidR="00580BEF" w:rsidRPr="00CE10F8">
        <w:rPr>
          <w:highlight w:val="yellow"/>
          <w:lang w:val="en-US"/>
        </w:rPr>
        <w:t>s</w:t>
      </w:r>
      <w:r w:rsidRPr="004D7EBC">
        <w:rPr>
          <w:lang w:val="en-US"/>
        </w:rPr>
        <w:t xml:space="preserve"> a positive  effect during the </w:t>
      </w:r>
      <w:r w:rsidR="003B118E">
        <w:rPr>
          <w:lang w:val="en-US"/>
        </w:rPr>
        <w:t xml:space="preserve">crisis </w:t>
      </w:r>
      <w:r w:rsidRPr="004D7EBC">
        <w:rPr>
          <w:lang w:val="en-US"/>
        </w:rPr>
        <w:t>only in the first specification while the effect is null when controlling for changes in local demand.  We obtain similar results when adding OTH_LOA among the control variables, although the overall sample is restricted due to missing variables</w:t>
      </w:r>
      <w:r>
        <w:rPr>
          <w:vertAlign w:val="superscript"/>
        </w:rPr>
        <w:footnoteReference w:id="7"/>
      </w:r>
      <w:r w:rsidRPr="004D7EBC">
        <w:rPr>
          <w:lang w:val="en-US"/>
        </w:rPr>
        <w:t>.</w:t>
      </w:r>
    </w:p>
    <w:p w:rsidR="008C613C" w:rsidRPr="004D7EBC" w:rsidRDefault="004D7EBC">
      <w:pPr>
        <w:rPr>
          <w:lang w:val="en-US"/>
        </w:rPr>
      </w:pPr>
      <w:r w:rsidRPr="004D7EBC">
        <w:rPr>
          <w:lang w:val="en-US"/>
        </w:rPr>
        <w:t xml:space="preserve">According to these results, one can argue that the </w:t>
      </w:r>
      <w:proofErr w:type="spellStart"/>
      <w:r w:rsidRPr="004D7EBC">
        <w:rPr>
          <w:lang w:val="en-US"/>
        </w:rPr>
        <w:t>behaviour</w:t>
      </w:r>
      <w:proofErr w:type="spellEnd"/>
      <w:r w:rsidRPr="004D7EBC">
        <w:rPr>
          <w:lang w:val="en-US"/>
        </w:rPr>
        <w:t xml:space="preserve"> of local banks is not pro-cyclical like the one of other intermediaries. </w:t>
      </w:r>
      <w:r w:rsidR="005E65F0">
        <w:rPr>
          <w:lang w:val="en-US"/>
        </w:rPr>
        <w:t>However, t</w:t>
      </w:r>
      <w:r w:rsidRPr="004D7EBC">
        <w:rPr>
          <w:lang w:val="en-US"/>
        </w:rPr>
        <w:t xml:space="preserve">he hypothesis of counter-cyclical role is only supported for rural mutual banks </w:t>
      </w:r>
      <w:r w:rsidR="003B118E">
        <w:rPr>
          <w:lang w:val="en-US"/>
        </w:rPr>
        <w:t xml:space="preserve">and </w:t>
      </w:r>
      <w:r w:rsidRPr="004D7EBC">
        <w:rPr>
          <w:lang w:val="en-US"/>
        </w:rPr>
        <w:t>for local non-independent banks while this is not the case for other categories.  With respect to local non-independent banks</w:t>
      </w:r>
      <w:r w:rsidR="00580BEF">
        <w:rPr>
          <w:lang w:val="en-US"/>
        </w:rPr>
        <w:t xml:space="preserve">, </w:t>
      </w:r>
      <w:r w:rsidR="00580BEF" w:rsidRPr="00CE10F8">
        <w:rPr>
          <w:highlight w:val="yellow"/>
          <w:lang w:val="en-US"/>
        </w:rPr>
        <w:t>which</w:t>
      </w:r>
      <w:r w:rsidR="00580BEF">
        <w:rPr>
          <w:lang w:val="en-US"/>
        </w:rPr>
        <w:t xml:space="preserve"> </w:t>
      </w:r>
      <w:r w:rsidRPr="004D7EBC">
        <w:rPr>
          <w:lang w:val="en-US"/>
        </w:rPr>
        <w:t xml:space="preserve">significantly increased their loans in the period of interest this result suggests that relationship-based lending strategies can mitigate pro-cyclical reduction of loan supply when they are combined with the higher capability to manage loan portfolio risk through sophisticated analytical tools introduced by the presence of a large national bank as a controlling stockholder. This synthesis allows these banks to neutralize the effect of the credit crunch for borrowing firms. On the other hand, it seems that during the crisis the competitive advantage of rural CCB over national banks in providing credit to SMEs has been able to compensate the penalization derived from the typical weaknesses of CCB , such as small size and geographical constraints. CCB may have also decided to postpone the choice of cutting their </w:t>
      </w:r>
      <w:r w:rsidRPr="004D7EBC">
        <w:rPr>
          <w:lang w:val="en-US"/>
        </w:rPr>
        <w:lastRenderedPageBreak/>
        <w:t xml:space="preserve">lending by temporarily accepting a reversal of the typical association between liquidity and credit supply in order to preserve bank-borrower relationships. However, this attitude is not associated with a measurable anti-cyclical performance in comparison with the other types of banks. It seems that the lower propensity of rural banks to cut their lending in a period of crisis rises from the need to not lose their informational advantage in the </w:t>
      </w:r>
      <w:r w:rsidRPr="004D7EBC">
        <w:rPr>
          <w:color w:val="FF0000"/>
          <w:u w:val="single"/>
          <w:lang w:val="en-US"/>
        </w:rPr>
        <w:t>market of rural location is only</w:t>
      </w:r>
      <w:r w:rsidRPr="004D7EBC">
        <w:rPr>
          <w:lang w:val="en-US"/>
        </w:rPr>
        <w:t xml:space="preserve"> able to balance the structural weakness of these banks in increasing loan supply in expansion times. On the other hand, when the informational advantage is less accentuated, such as in urban areas, mutual banks do not to represent a valuable banking model  in limiting credit crunch in times of crisis</w:t>
      </w:r>
    </w:p>
    <w:p w:rsidR="008C613C" w:rsidRPr="004D7EBC" w:rsidRDefault="004D7EBC">
      <w:pPr>
        <w:rPr>
          <w:lang w:val="en-US"/>
        </w:rPr>
      </w:pPr>
      <w:r w:rsidRPr="004D7EBC">
        <w:rPr>
          <w:lang w:val="en-US"/>
        </w:rPr>
        <w:t xml:space="preserve">The statistically significant control variables are ROE, ROA, SIZE, LISTED, HOUINC, DIV and AREA. Profitability indexes (ROE and ROA) have an ambiguous effects on loan growth. The estimated coefficient of ROE is positive, while this is not the case for ROA, which is negative and significant across most of the specifications. This result indicates that the decision to increase loans is not linked to the bank’s economic performance. In times of recession credit supply is rather driven by other factors. On the other hand, the negative sign of SIZE coefficient confirms that large banks are more influenced by hard information in the lending process. The non-significant impact of SIZE on VARLOA2 is </w:t>
      </w:r>
      <w:r w:rsidR="00D6247C">
        <w:rPr>
          <w:lang w:val="en-US"/>
        </w:rPr>
        <w:t xml:space="preserve">also </w:t>
      </w:r>
      <w:r w:rsidRPr="004D7EBC">
        <w:rPr>
          <w:lang w:val="en-US"/>
        </w:rPr>
        <w:t>due to the construction of the dependent variable, which is scaled by bank’s assets. Thus, during a period characterized by deteriorated borrowers’ balance sheets, the variation in the amount of loans can be lower in banks that rely on such type of information. Concerning diversification strategies (DIV), their effects on VARLOA are positive, suggesting that secondary businesses may have limited the financial distress caused by the crisis or even generated additional resources for lending services. However the variable turns to be non-significant once controlling for changes in local demand. Finally, the effect of HOUINC, (one of the two variables belonging to DEM matrix) is positive and in line with our expectations. Household income is a key driver of demand for goods and services, which in turn will drive firms’ activities and their demand for loans.  Among non-significant control variables (not reported in Table 3) we find the lagged value of CAP, LIQ and RISK, meaning that financial stress does not influence bank’s credit supply in the following year. This result can be explained by the nature and entity of the crisis, which hit severely all the intermediaries no matter of their healthiness before its arrival. Even healthiest banks have suffered from the freezing of the interbank credit market during 2008.</w:t>
      </w:r>
    </w:p>
    <w:p w:rsidR="008C613C" w:rsidRPr="004D7EBC" w:rsidRDefault="008C613C">
      <w:pPr>
        <w:rPr>
          <w:lang w:val="en-US"/>
        </w:rPr>
      </w:pPr>
    </w:p>
    <w:p w:rsidR="008C613C" w:rsidRPr="004D7EBC" w:rsidRDefault="004D7EBC">
      <w:pPr>
        <w:rPr>
          <w:lang w:val="en-US"/>
        </w:rPr>
      </w:pPr>
      <w:r w:rsidRPr="004D7EBC">
        <w:rPr>
          <w:lang w:val="en-US"/>
        </w:rPr>
        <w:lastRenderedPageBreak/>
        <w:t>&lt;Table 3&gt;</w:t>
      </w:r>
    </w:p>
    <w:p w:rsidR="008C613C" w:rsidRPr="004D7EBC" w:rsidRDefault="008C613C">
      <w:pPr>
        <w:rPr>
          <w:lang w:val="en-US"/>
        </w:rPr>
      </w:pPr>
    </w:p>
    <w:p w:rsidR="008C613C" w:rsidRPr="004D7EBC" w:rsidRDefault="004D7EBC">
      <w:pPr>
        <w:rPr>
          <w:lang w:val="en-US"/>
        </w:rPr>
      </w:pPr>
      <w:r w:rsidRPr="004D7EBC">
        <w:rPr>
          <w:lang w:val="en-US"/>
        </w:rPr>
        <w:t xml:space="preserve">Then we perform a sample split for different bank’s types in order to investigate the response of VARLOA to CRS on  each subsample and disentangle the effect of the crisis between these classes of banks (Table 4). Compared to the </w:t>
      </w:r>
      <w:r w:rsidR="00506FAE">
        <w:rPr>
          <w:lang w:val="en-US"/>
        </w:rPr>
        <w:t xml:space="preserve">previous </w:t>
      </w:r>
      <w:r w:rsidRPr="004D7EBC">
        <w:rPr>
          <w:lang w:val="en-US"/>
        </w:rPr>
        <w:t>model</w:t>
      </w:r>
      <w:r w:rsidR="00506FAE">
        <w:rPr>
          <w:lang w:val="en-US"/>
        </w:rPr>
        <w:t>, as</w:t>
      </w:r>
      <w:r w:rsidRPr="004D7EBC">
        <w:rPr>
          <w:lang w:val="en-US"/>
        </w:rPr>
        <w:t xml:space="preserve"> reported in Table 3</w:t>
      </w:r>
      <w:r w:rsidR="00506FAE">
        <w:rPr>
          <w:lang w:val="en-US"/>
        </w:rPr>
        <w:t>,</w:t>
      </w:r>
      <w:r w:rsidRPr="004D7EBC">
        <w:rPr>
          <w:lang w:val="en-US"/>
        </w:rPr>
        <w:t xml:space="preserve"> we also carry on the estimate for national banks (NAT) used as a separate subsample. These results fully support the idea that local non-independent banks were thus able to increase their lending despite the turmoil in the financial markets. Indeed, LOCDEP is associated with a positive and significant effects of CRS on VARLOA. During the crisis VARLOA grew by 8.4% in local non-independent banks while the effect of the crisis in non-significant for the other categories. This result confirms that the countercyclical attitude does not apply to all the categories of local banks. Consistently with previous estimates local non-independent banks actually mitigated the effect of the crisis on credit supply. Finally, coefficients of control variables substantially confirm the signs of the unrestricted regression, except for DIV which is positive only for LOCDEP while it is negatively associated to MUTURB and RUR. Some of them, notably AREA, are however not significant due to the low sample size. . </w:t>
      </w:r>
    </w:p>
    <w:p w:rsidR="008C613C" w:rsidRPr="004D7EBC" w:rsidRDefault="004D7EBC">
      <w:pPr>
        <w:rPr>
          <w:lang w:val="en-US"/>
        </w:rPr>
      </w:pPr>
      <w:r w:rsidRPr="004D7EBC">
        <w:rPr>
          <w:lang w:val="en-US"/>
        </w:rPr>
        <w:t>When using VARLOA2 as the dependent variable the effect of CRS is positive and significant for LOCDEP, RUR and NAT. This supports  the hypotheses of a countercyclical role of both LOCDEP and RUR with a higher coefficient for LOCDEP subsample and significant differences of CRS coefficients among the subsamples. On the other hand the positive effect of CRS on VARLOA2 in the NAT subsample  may indicate that national banks faced a severe depreciation in the value of their assets during the crisis such that the loan growth rate relatively increases only if it is scaled by the banks’ assets. Actually, national banks have been more exposed to the volatility of the price of financial products which occurred in the crisis.  Finally, the sign of SIZE in  the NAT subsample is positive and significant, which is at odds with the effect of SIZE in the other subsamples. Economies of scale thus seem to play a major role for this subsample while smaller size is not associated with informational advantages .</w:t>
      </w:r>
    </w:p>
    <w:p w:rsidR="008C613C" w:rsidRPr="004D7EBC" w:rsidRDefault="008C613C">
      <w:pPr>
        <w:rPr>
          <w:lang w:val="en-US"/>
        </w:rPr>
      </w:pPr>
    </w:p>
    <w:p w:rsidR="008C613C" w:rsidRPr="004D7EBC" w:rsidRDefault="004D7EBC">
      <w:pPr>
        <w:rPr>
          <w:lang w:val="en-US"/>
        </w:rPr>
      </w:pPr>
      <w:r w:rsidRPr="004D7EBC">
        <w:rPr>
          <w:lang w:val="en-US"/>
        </w:rPr>
        <w:t>&lt;Table 4&gt;</w:t>
      </w:r>
    </w:p>
    <w:p w:rsidR="008C613C" w:rsidRPr="004D7EBC" w:rsidRDefault="008C613C">
      <w:pPr>
        <w:rPr>
          <w:lang w:val="en-US"/>
        </w:rPr>
      </w:pPr>
    </w:p>
    <w:p w:rsidR="008C613C" w:rsidRPr="004D7EBC" w:rsidRDefault="004D7EBC">
      <w:pPr>
        <w:rPr>
          <w:lang w:val="en-US"/>
        </w:rPr>
      </w:pPr>
      <w:r w:rsidRPr="004D7EBC">
        <w:rPr>
          <w:b/>
          <w:lang w:val="en-US"/>
        </w:rPr>
        <w:lastRenderedPageBreak/>
        <w:t>9. Robustness checks</w:t>
      </w:r>
    </w:p>
    <w:p w:rsidR="008C613C" w:rsidRPr="004D7EBC" w:rsidRDefault="004D7EBC">
      <w:pPr>
        <w:rPr>
          <w:lang w:val="en-US"/>
        </w:rPr>
      </w:pPr>
      <w:r w:rsidRPr="004D7EBC">
        <w:rPr>
          <w:lang w:val="en-US"/>
        </w:rPr>
        <w:t xml:space="preserve">To check the robustness of our results we examine whether our findings, based on HT estimator, gives similar coefficient estimates from those obtained by using a an alternative panel estimator. In order to choose the appropriate technique we carried out two preliminary tests. First, as credit supply may also depend on the previous levels of bank loans we control for autocorrelation through a dynamic model that takes into account the dynamic adjustment of the banking system over time. However, the AR test for serial correlation does not report any significant correlation between different lags of VARLOA and VARLOA2. Namely, the serial correlation test does not reject the null hypothesis at both order 1 and 2. Second, we control for heteroscedasticity by using the test proposed by Pagan and Hall (1983), and implemented in </w:t>
      </w:r>
      <w:r w:rsidRPr="004D7EBC">
        <w:rPr>
          <w:color w:val="FF0000"/>
          <w:u w:val="single"/>
          <w:lang w:val="en-US"/>
        </w:rPr>
        <w:t>Stata</w:t>
      </w:r>
      <w:r w:rsidRPr="004D7EBC">
        <w:rPr>
          <w:lang w:val="en-US"/>
        </w:rPr>
        <w:t xml:space="preserve"> through the command </w:t>
      </w:r>
      <w:proofErr w:type="spellStart"/>
      <w:r w:rsidRPr="004D7EBC">
        <w:rPr>
          <w:color w:val="FF0000"/>
          <w:u w:val="single"/>
          <w:lang w:val="en-US"/>
        </w:rPr>
        <w:t>ivhettest</w:t>
      </w:r>
      <w:proofErr w:type="spellEnd"/>
      <w:r w:rsidRPr="004D7EBC">
        <w:rPr>
          <w:lang w:val="en-US"/>
        </w:rPr>
        <w:t xml:space="preserve">. </w:t>
      </w:r>
    </w:p>
    <w:p w:rsidR="008C613C" w:rsidRPr="004D7EBC" w:rsidRDefault="004D7EBC">
      <w:pPr>
        <w:rPr>
          <w:lang w:val="en-US"/>
        </w:rPr>
      </w:pPr>
      <w:r w:rsidRPr="004D7EBC">
        <w:rPr>
          <w:lang w:val="en-US"/>
        </w:rPr>
        <w:t xml:space="preserve">Having found the error term to be heteroskedastic we use instrumental variables (IV) in the context of GMM-estimator as GMM procedures are able to obtain a more efficient estimation if heteroscedasticity is present (Arellano and Bond, 1991) while T is small and N sufficiently large. This estimator also allows us to include time-invariant </w:t>
      </w:r>
      <w:proofErr w:type="spellStart"/>
      <w:r w:rsidRPr="004D7EBC">
        <w:rPr>
          <w:lang w:val="en-US"/>
        </w:rPr>
        <w:t>regressors</w:t>
      </w:r>
      <w:proofErr w:type="spellEnd"/>
      <w:r w:rsidRPr="004D7EBC">
        <w:rPr>
          <w:lang w:val="en-US"/>
        </w:rPr>
        <w:t xml:space="preserve"> and it is more consistent, although less efficient, than two-step estimator. However, it does not allow for any finite-sample correction of the reported standard errors.  In our case sample size is too small for running GMM regressions for the subsamples making this procedure difficult to implement when measuring the effect of the crisis dummies on the different categories of local banks. Accordingly, GMM estimator is just used as a robustness check of the unrestricted sample on the basis of specifications [2] and [3] by assuming LIQ, DEP,  DIV and CAP to be endogenous, and using lagged values of DEM, DIV PROF and  DEP as instrumental variables and the share of diversified income as external instrumental variable. However, since the endogeneity of DEP was not confirmed by the Durbin-Wu-</w:t>
      </w:r>
      <w:proofErr w:type="spellStart"/>
      <w:r w:rsidRPr="004D7EBC">
        <w:rPr>
          <w:lang w:val="en-US"/>
        </w:rPr>
        <w:t>Hausman</w:t>
      </w:r>
      <w:proofErr w:type="spellEnd"/>
      <w:r w:rsidRPr="004D7EBC">
        <w:rPr>
          <w:lang w:val="en-US"/>
        </w:rPr>
        <w:t xml:space="preserve"> test when VARLOA is the dependent variable, this variable has been considered as exogenous in this specification. </w:t>
      </w:r>
    </w:p>
    <w:p w:rsidR="008C613C" w:rsidRPr="004D7EBC" w:rsidRDefault="004D7EBC">
      <w:pPr>
        <w:rPr>
          <w:lang w:val="en-US"/>
        </w:rPr>
      </w:pPr>
      <w:r w:rsidRPr="004D7EBC">
        <w:rPr>
          <w:lang w:val="en-US"/>
        </w:rPr>
        <w:t xml:space="preserve">Results partly confirm our coefficients of interest (Table 5). In particular, we find that the effects of RUR on credit supply across the whole 2006-2011 period and in normal times  is </w:t>
      </w:r>
      <w:proofErr w:type="spellStart"/>
      <w:r w:rsidRPr="004D7EBC">
        <w:rPr>
          <w:lang w:val="en-US"/>
        </w:rPr>
        <w:t>non significant</w:t>
      </w:r>
      <w:proofErr w:type="spellEnd"/>
      <w:r w:rsidRPr="004D7EBC">
        <w:rPr>
          <w:lang w:val="en-US"/>
        </w:rPr>
        <w:t xml:space="preserve"> (except for the effect on VARLOA across the overall period which is negative and slightly significant) while the effect is positive and significant once the variable interact with CRS and VARLOA2 is the dependent variable. This evidence thus supports the hypothesis of a discontinuity in lending policies of rural banks during the crisis. A slightly positive effect is also observed for </w:t>
      </w:r>
      <w:r w:rsidRPr="004D7EBC">
        <w:rPr>
          <w:lang w:val="en-US"/>
        </w:rPr>
        <w:lastRenderedPageBreak/>
        <w:t xml:space="preserve">MUTURB when interacting with CRS while the same coefficient is non-significant in normal times.   Yet the same effect was not observed in the baseline regressions reported Section 8. </w:t>
      </w:r>
    </w:p>
    <w:p w:rsidR="008C613C" w:rsidRPr="004D7EBC" w:rsidRDefault="008C613C">
      <w:pPr>
        <w:rPr>
          <w:lang w:val="en-US"/>
        </w:rPr>
      </w:pPr>
    </w:p>
    <w:p w:rsidR="008C613C" w:rsidRPr="004D7EBC" w:rsidRDefault="004D7EBC">
      <w:pPr>
        <w:rPr>
          <w:lang w:val="en-US"/>
        </w:rPr>
      </w:pPr>
      <w:r w:rsidRPr="004D7EBC">
        <w:rPr>
          <w:lang w:val="en-US"/>
        </w:rPr>
        <w:t>&lt;Table 5&gt;</w:t>
      </w:r>
    </w:p>
    <w:p w:rsidR="008C613C" w:rsidRPr="004D7EBC" w:rsidRDefault="008C613C">
      <w:pPr>
        <w:rPr>
          <w:lang w:val="en-US"/>
        </w:rPr>
      </w:pPr>
    </w:p>
    <w:p w:rsidR="008C613C" w:rsidRPr="004D7EBC" w:rsidRDefault="004D7EBC">
      <w:pPr>
        <w:rPr>
          <w:lang w:val="en-US"/>
        </w:rPr>
      </w:pPr>
      <w:r w:rsidRPr="004D7EBC">
        <w:rPr>
          <w:lang w:val="en-US"/>
        </w:rPr>
        <w:t>One weakness of the GMM estimator is that it can easily generate invalid estimates (</w:t>
      </w:r>
      <w:proofErr w:type="spellStart"/>
      <w:r w:rsidRPr="004D7EBC">
        <w:rPr>
          <w:lang w:val="en-US"/>
        </w:rPr>
        <w:t>Roodman</w:t>
      </w:r>
      <w:proofErr w:type="spellEnd"/>
      <w:r w:rsidRPr="004D7EBC">
        <w:rPr>
          <w:lang w:val="en-US"/>
        </w:rPr>
        <w:t xml:space="preserve"> 2009a). Test statistics for </w:t>
      </w:r>
      <w:proofErr w:type="spellStart"/>
      <w:r w:rsidRPr="004D7EBC">
        <w:rPr>
          <w:lang w:val="en-US"/>
        </w:rPr>
        <w:t>overidentification</w:t>
      </w:r>
      <w:proofErr w:type="spellEnd"/>
      <w:r w:rsidRPr="004D7EBC">
        <w:rPr>
          <w:lang w:val="en-US"/>
        </w:rPr>
        <w:t xml:space="preserve"> and </w:t>
      </w:r>
      <w:proofErr w:type="spellStart"/>
      <w:r w:rsidRPr="004D7EBC">
        <w:rPr>
          <w:lang w:val="en-US"/>
        </w:rPr>
        <w:t>exogeneity</w:t>
      </w:r>
      <w:proofErr w:type="spellEnd"/>
      <w:r w:rsidRPr="004D7EBC">
        <w:rPr>
          <w:lang w:val="en-US"/>
        </w:rPr>
        <w:t xml:space="preserve"> of instruments are therefore important. Concerning </w:t>
      </w:r>
      <w:proofErr w:type="spellStart"/>
      <w:r w:rsidRPr="004D7EBC">
        <w:rPr>
          <w:lang w:val="en-US"/>
        </w:rPr>
        <w:t>overidentification</w:t>
      </w:r>
      <w:proofErr w:type="spellEnd"/>
      <w:r w:rsidRPr="004D7EBC">
        <w:rPr>
          <w:lang w:val="en-US"/>
        </w:rPr>
        <w:t xml:space="preserve"> controls, the results of </w:t>
      </w:r>
      <w:proofErr w:type="spellStart"/>
      <w:r w:rsidRPr="004D7EBC">
        <w:rPr>
          <w:lang w:val="en-US"/>
        </w:rPr>
        <w:t>Sargan</w:t>
      </w:r>
      <w:proofErr w:type="spellEnd"/>
      <w:r w:rsidRPr="004D7EBC">
        <w:rPr>
          <w:lang w:val="en-US"/>
        </w:rPr>
        <w:t xml:space="preserve"> and Hansen tests show contrasting results. The null hypothesis is not rejected in the Hansen test, while this is not the case for the </w:t>
      </w:r>
      <w:proofErr w:type="spellStart"/>
      <w:r w:rsidRPr="004D7EBC">
        <w:rPr>
          <w:lang w:val="en-US"/>
        </w:rPr>
        <w:t>Sargan</w:t>
      </w:r>
      <w:proofErr w:type="spellEnd"/>
      <w:r w:rsidRPr="004D7EBC">
        <w:rPr>
          <w:lang w:val="en-US"/>
        </w:rPr>
        <w:t xml:space="preserve"> test. However, </w:t>
      </w:r>
      <w:proofErr w:type="spellStart"/>
      <w:r w:rsidRPr="004D7EBC">
        <w:rPr>
          <w:lang w:val="en-US"/>
        </w:rPr>
        <w:t>Sargan</w:t>
      </w:r>
      <w:proofErr w:type="spellEnd"/>
      <w:r w:rsidRPr="004D7EBC">
        <w:rPr>
          <w:lang w:val="en-US"/>
        </w:rPr>
        <w:t xml:space="preserve"> test should be interpreted with care, as it is not consistent unless we assume homoscedasticity. On the contrary the Hansen test is more reliable as it does not face the major problem of instrument proliferation further to lag truncation (</w:t>
      </w:r>
      <w:proofErr w:type="spellStart"/>
      <w:r w:rsidRPr="004D7EBC">
        <w:rPr>
          <w:lang w:val="en-US"/>
        </w:rPr>
        <w:t>Roodman</w:t>
      </w:r>
      <w:proofErr w:type="spellEnd"/>
      <w:r w:rsidRPr="004D7EBC">
        <w:rPr>
          <w:lang w:val="en-US"/>
        </w:rPr>
        <w:t xml:space="preserve">, 2009b).  </w:t>
      </w:r>
      <w:proofErr w:type="spellStart"/>
      <w:r w:rsidRPr="004D7EBC">
        <w:rPr>
          <w:lang w:val="en-US"/>
        </w:rPr>
        <w:t>Exogeneity</w:t>
      </w:r>
      <w:proofErr w:type="spellEnd"/>
      <w:r w:rsidRPr="004D7EBC">
        <w:rPr>
          <w:lang w:val="en-US"/>
        </w:rPr>
        <w:t xml:space="preserve"> of instruments is then controlled through a C test (or GMM distance test) that allow us  to check a subset of the original set of orthogonality conditions (Hayashi, 2000; Baum et al., 2003). According to the results of the C test for our selected instruments through the </w:t>
      </w:r>
      <w:proofErr w:type="spellStart"/>
      <w:r w:rsidRPr="004D7EBC">
        <w:rPr>
          <w:lang w:val="en-US"/>
        </w:rPr>
        <w:t>orthog</w:t>
      </w:r>
      <w:proofErr w:type="spellEnd"/>
      <w:r w:rsidRPr="004D7EBC">
        <w:rPr>
          <w:lang w:val="en-US"/>
        </w:rPr>
        <w:t xml:space="preserve"> option of the ivreg2 command we can accept the null hypothesis that the specified variables are proper instruments.  and treat these variables as exogenous in three out of four specifications. The relevance and validity of instruments are then controlled through the first-stage F-stat (</w:t>
      </w:r>
      <w:proofErr w:type="spellStart"/>
      <w:r w:rsidRPr="004D7EBC">
        <w:rPr>
          <w:lang w:val="en-US"/>
        </w:rPr>
        <w:t>Shea</w:t>
      </w:r>
      <w:proofErr w:type="spellEnd"/>
      <w:r w:rsidRPr="004D7EBC">
        <w:rPr>
          <w:lang w:val="en-US"/>
        </w:rPr>
        <w:t xml:space="preserve"> partial R</w:t>
      </w:r>
      <w:r w:rsidRPr="00CE10F8">
        <w:rPr>
          <w:vertAlign w:val="superscript"/>
          <w:lang w:val="en-US"/>
        </w:rPr>
        <w:t>2</w:t>
      </w:r>
      <w:r w:rsidRPr="004D7EBC">
        <w:rPr>
          <w:lang w:val="en-US"/>
        </w:rPr>
        <w:t xml:space="preserve">), the </w:t>
      </w:r>
      <w:proofErr w:type="spellStart"/>
      <w:r w:rsidRPr="004D7EBC">
        <w:rPr>
          <w:lang w:val="en-US"/>
        </w:rPr>
        <w:t>Cragg</w:t>
      </w:r>
      <w:proofErr w:type="spellEnd"/>
      <w:r w:rsidRPr="004D7EBC">
        <w:rPr>
          <w:lang w:val="en-US"/>
        </w:rPr>
        <w:t>-Donald statistics  and the Anderson-</w:t>
      </w:r>
      <w:proofErr w:type="spellStart"/>
      <w:r w:rsidRPr="004D7EBC">
        <w:rPr>
          <w:lang w:val="en-US"/>
        </w:rPr>
        <w:t>Rubini</w:t>
      </w:r>
      <w:proofErr w:type="spellEnd"/>
      <w:r w:rsidRPr="004D7EBC">
        <w:rPr>
          <w:lang w:val="en-US"/>
        </w:rPr>
        <w:t xml:space="preserve"> test.</w:t>
      </w:r>
    </w:p>
    <w:p w:rsidR="008C613C" w:rsidRPr="004D7EBC" w:rsidRDefault="008C613C">
      <w:pPr>
        <w:rPr>
          <w:lang w:val="en-US"/>
        </w:rPr>
      </w:pPr>
    </w:p>
    <w:p w:rsidR="008C613C" w:rsidRPr="004D7EBC" w:rsidRDefault="004D7EBC">
      <w:pPr>
        <w:rPr>
          <w:lang w:val="en-US"/>
        </w:rPr>
      </w:pPr>
      <w:r w:rsidRPr="004D7EBC">
        <w:rPr>
          <w:b/>
          <w:lang w:val="en-US"/>
        </w:rPr>
        <w:t>10. Conclusions</w:t>
      </w:r>
    </w:p>
    <w:p w:rsidR="008C613C" w:rsidRPr="004D7EBC" w:rsidRDefault="004D7EBC">
      <w:pPr>
        <w:rPr>
          <w:lang w:val="en-US"/>
        </w:rPr>
      </w:pPr>
      <w:r w:rsidRPr="004D7EBC">
        <w:rPr>
          <w:lang w:val="en-US"/>
        </w:rPr>
        <w:t xml:space="preserve">The relationship lending model has proved to be a mitigating factor of credit rationing during the last financial crisis. Long term relationships based on trust and soft information mitigate the systemic risk attached to the globalized financial markets and enhance the potential for local development. Businesses with a longstanding bank relationship may thus continue to receive credit during periods of temporary distress or face lower costs. In the meanwhile, during times of financial distress informational opaque small businesses face a higher risk to be credit rationed as they would have faced difficulties in finding external finance. This theoretical and empirical framework suggests in particular that local banks may actually play a pivotal role early on during financial crises. Relying on their distinctive feature, they are less likely to cut their lending in a period of </w:t>
      </w:r>
      <w:r w:rsidRPr="004D7EBC">
        <w:rPr>
          <w:lang w:val="en-US"/>
        </w:rPr>
        <w:lastRenderedPageBreak/>
        <w:t xml:space="preserve">crisis otherwise they would lose their informational advantage, and eventually their competitiveness in the market. The drop of the emphasis on innovative finance following the global economic crisis has opened up new spaces for these specific types of intermediaries. Though this issue is not new, the recent crisis allows for a fresh look at the sources of stability and instability of the banking system, and at the possible persisting economic role of local banks. Moreover, most of the existing studies do not differentiate by banks’ business strategies, an important driver of banks’ lending </w:t>
      </w:r>
      <w:proofErr w:type="spellStart"/>
      <w:r w:rsidRPr="004D7EBC">
        <w:rPr>
          <w:lang w:val="en-US"/>
        </w:rPr>
        <w:t>behaviour</w:t>
      </w:r>
      <w:proofErr w:type="spellEnd"/>
      <w:r w:rsidRPr="004D7EBC">
        <w:rPr>
          <w:lang w:val="en-US"/>
        </w:rPr>
        <w:t xml:space="preserve"> during economic downturns. </w:t>
      </w:r>
    </w:p>
    <w:p w:rsidR="008C613C" w:rsidRPr="004D7EBC" w:rsidRDefault="004D7EBC">
      <w:pPr>
        <w:rPr>
          <w:lang w:val="en-US"/>
        </w:rPr>
      </w:pPr>
      <w:r w:rsidRPr="004D7EBC">
        <w:rPr>
          <w:lang w:val="en-US"/>
        </w:rPr>
        <w:t xml:space="preserve">Assuming that Italian local banks have a major role in applying the relationship lending model, our study focuses on their </w:t>
      </w:r>
      <w:proofErr w:type="spellStart"/>
      <w:r w:rsidRPr="004D7EBC">
        <w:rPr>
          <w:lang w:val="en-US"/>
        </w:rPr>
        <w:t>behaviour</w:t>
      </w:r>
      <w:proofErr w:type="spellEnd"/>
      <w:r w:rsidRPr="004D7EBC">
        <w:rPr>
          <w:lang w:val="en-US"/>
        </w:rPr>
        <w:t xml:space="preserve"> during the crisis. In this period they appear to have benefited from their knowledge of the economic environment and comparative advantage in gathering soft information. However, Italian local banks are a heterogeneous family of intermediaries within which a wide variety of business models actually coexist. In order to disentangle such effect between the different types of Italian local banks, our empirical analysis investigates whether different classes of local banks’ acted differently across the 2006-2011 period and during 2008-2009 crisis. </w:t>
      </w:r>
    </w:p>
    <w:p w:rsidR="008C613C" w:rsidRPr="004D7EBC" w:rsidRDefault="004D7EBC">
      <w:pPr>
        <w:rPr>
          <w:lang w:val="en-US"/>
        </w:rPr>
      </w:pPr>
      <w:r w:rsidRPr="004D7EBC">
        <w:rPr>
          <w:lang w:val="en-US"/>
        </w:rPr>
        <w:t xml:space="preserve">Results mostly support the view that two segments of local banks, i.e. non-independent Saving Banks and rural cooperative banks, were able to significantly mitigate credit rationing during the two-year crisis period. The formers are strategically committed to a relationship-based business model, while at the same time they are better able to use sophisticated risk management techniques thanks to the presence of a large and diversified national banks as a controlling shareholder. The </w:t>
      </w:r>
      <w:proofErr w:type="spellStart"/>
      <w:r w:rsidRPr="004D7EBC">
        <w:rPr>
          <w:lang w:val="en-US"/>
        </w:rPr>
        <w:t>latters</w:t>
      </w:r>
      <w:proofErr w:type="spellEnd"/>
      <w:r w:rsidRPr="004D7EBC">
        <w:rPr>
          <w:lang w:val="en-US"/>
        </w:rPr>
        <w:t xml:space="preserve">  </w:t>
      </w:r>
      <w:proofErr w:type="spellStart"/>
      <w:r w:rsidRPr="004D7EBC">
        <w:rPr>
          <w:lang w:val="en-US"/>
        </w:rPr>
        <w:t>maximise</w:t>
      </w:r>
      <w:proofErr w:type="spellEnd"/>
      <w:r w:rsidRPr="004D7EBC">
        <w:rPr>
          <w:lang w:val="en-US"/>
        </w:rPr>
        <w:t xml:space="preserve"> the informational advantage and its benefits thanks to their complete adherence to the archetype of small community banks providing loans to small firms operating in the relevant local systems of production. Accordingly, the anticyclical role of local banks is incomplete when relationship-lending based business models are not supported either by adequate screening methods of the credit risk, such as in non-independent local banks, or by a major informational advantage such as the one enjoyed by rural CCBs in their credit relationships with small firms. </w:t>
      </w:r>
    </w:p>
    <w:p w:rsidR="008C613C" w:rsidRPr="004D7EBC" w:rsidRDefault="004D7EBC">
      <w:pPr>
        <w:rPr>
          <w:lang w:val="en-US"/>
        </w:rPr>
      </w:pPr>
      <w:r w:rsidRPr="004D7EBC">
        <w:rPr>
          <w:lang w:val="en-US"/>
        </w:rPr>
        <w:t xml:space="preserve">From a policy perspective this outcome suggests that prudential supervisors should rethink the indicators of systemic risk. During the last decade, as long as the integration of financial markets rapidly progressed, regulators and central banks became increasingly worried about systemic risk in the banking sector. Evidence suggests, however, that contagious defaults caused by individual </w:t>
      </w:r>
      <w:r w:rsidRPr="004D7EBC">
        <w:rPr>
          <w:lang w:val="en-US"/>
        </w:rPr>
        <w:lastRenderedPageBreak/>
        <w:t>banks exposures show a lower likelihood to occur than the ones caused by banks interactions (</w:t>
      </w:r>
      <w:proofErr w:type="spellStart"/>
      <w:r w:rsidRPr="004D7EBC">
        <w:rPr>
          <w:lang w:val="en-US"/>
        </w:rPr>
        <w:t>Furfine</w:t>
      </w:r>
      <w:proofErr w:type="spellEnd"/>
      <w:r w:rsidRPr="004D7EBC">
        <w:rPr>
          <w:lang w:val="en-US"/>
        </w:rPr>
        <w:t xml:space="preserve">, 2003). Each bank would bring its marginal contribution to systemic risk according to its characteristic. The countercyclical role of local banks and their lower propensity to produce contagion effects should thus be taken into account by prudential supervisors when assessing systemic risk. </w:t>
      </w:r>
    </w:p>
    <w:p w:rsidR="008C613C" w:rsidRPr="004D7EBC" w:rsidRDefault="004D7EBC">
      <w:pPr>
        <w:rPr>
          <w:lang w:val="en-US"/>
        </w:rPr>
      </w:pPr>
      <w:r w:rsidRPr="004D7EBC">
        <w:rPr>
          <w:lang w:val="en-US"/>
        </w:rPr>
        <w:t>Yet, this analysis only holds in the short run. Local banks partly postpone the choice of cutting their lending by temporary accepting a reversal of the typical association between liquidity and credit supply in order not to lose private information. Moreover, the relative expansion of the loan portfolio may worsen its quality due to the possibilities for renegotiation that characterize the relationship lending model, which may exacerbated perverse ex ante incentives on the part of borrowers in times of crisis. Thus, in case of protracted crisis local banks should become more cautious and accept the interruption of those fiduciary relationships attached to persistently impaired loans. If this type of self-discipline proves to be impractical, a tailored supervision on local banks would safeguard their ability to actively contribute to finance the peripheral areas of the economic system and support them to maintain an appropriate degree of competitiveness compared to transaction-based banks. Indeed, it seems that during the crisis some Italian local banks have born increasing financial risks that has become uncontrollable once the crisis reignited again in 2012. During 2013 10 local banks were placed under receivership out of 12 banks that entered into this type of procedure. Then at the end of 2015 three local banks</w:t>
      </w:r>
      <w:r>
        <w:rPr>
          <w:vertAlign w:val="superscript"/>
        </w:rPr>
        <w:footnoteReference w:id="8"/>
      </w:r>
      <w:r w:rsidRPr="004D7EBC">
        <w:rPr>
          <w:lang w:val="en-US"/>
        </w:rPr>
        <w:t xml:space="preserve"> have eventually been saved from collapse through a government rescue operation</w:t>
      </w:r>
      <w:r>
        <w:rPr>
          <w:vertAlign w:val="superscript"/>
        </w:rPr>
        <w:footnoteReference w:id="9"/>
      </w:r>
      <w:r w:rsidRPr="004D7EBC">
        <w:rPr>
          <w:lang w:val="en-US"/>
        </w:rPr>
        <w:t xml:space="preserve"> further to the writing-off of non-performing loans and an extended period of mismanagement and malpractice. Accordingly, not only this episode shows how local banks’ risk profile may get unsustainable in the long run in case of a protracted relative relaxation of credit supply, but it also reminds us that relationship lending must be </w:t>
      </w:r>
      <w:proofErr w:type="spellStart"/>
      <w:r w:rsidRPr="004D7EBC">
        <w:rPr>
          <w:lang w:val="en-US"/>
        </w:rPr>
        <w:t>practised</w:t>
      </w:r>
      <w:proofErr w:type="spellEnd"/>
      <w:r w:rsidRPr="004D7EBC">
        <w:rPr>
          <w:lang w:val="en-US"/>
        </w:rPr>
        <w:t xml:space="preserve"> in perfect honesty if it is to work.</w:t>
      </w:r>
    </w:p>
    <w:p w:rsidR="008C613C" w:rsidRPr="004D7EBC" w:rsidRDefault="008C613C">
      <w:pPr>
        <w:rPr>
          <w:lang w:val="en-US"/>
        </w:rPr>
      </w:pPr>
    </w:p>
    <w:p w:rsidR="008C613C" w:rsidRDefault="004D7EBC">
      <w:proofErr w:type="spellStart"/>
      <w:r>
        <w:rPr>
          <w:b/>
        </w:rPr>
        <w:t>References</w:t>
      </w:r>
      <w:proofErr w:type="spellEnd"/>
    </w:p>
    <w:p w:rsidR="008C613C" w:rsidRPr="004D7EBC" w:rsidRDefault="004D7EBC">
      <w:pPr>
        <w:spacing w:before="120" w:after="120"/>
        <w:rPr>
          <w:lang w:val="en-US"/>
        </w:rPr>
      </w:pPr>
      <w:r>
        <w:lastRenderedPageBreak/>
        <w:t xml:space="preserve">Albertazzi U., &amp; Botero M. (2013). </w:t>
      </w:r>
      <w:r w:rsidRPr="004D7EBC">
        <w:rPr>
          <w:lang w:val="en-US"/>
        </w:rPr>
        <w:t xml:space="preserve">The </w:t>
      </w:r>
      <w:proofErr w:type="spellStart"/>
      <w:r w:rsidRPr="004D7EBC">
        <w:rPr>
          <w:lang w:val="en-US"/>
        </w:rPr>
        <w:t>procyclicality</w:t>
      </w:r>
      <w:proofErr w:type="spellEnd"/>
      <w:r w:rsidRPr="004D7EBC">
        <w:rPr>
          <w:lang w:val="en-US"/>
        </w:rPr>
        <w:t xml:space="preserve"> of foreign bank lending: evidence from the global financial crisis, Banca </w:t>
      </w:r>
      <w:proofErr w:type="spellStart"/>
      <w:r w:rsidRPr="004D7EBC">
        <w:rPr>
          <w:lang w:val="en-US"/>
        </w:rPr>
        <w:t>d’Italia</w:t>
      </w:r>
      <w:proofErr w:type="spellEnd"/>
      <w:r w:rsidRPr="004D7EBC">
        <w:rPr>
          <w:lang w:val="en-US"/>
        </w:rPr>
        <w:t xml:space="preserve"> Working Papers n. 926.</w:t>
      </w:r>
    </w:p>
    <w:p w:rsidR="008C613C" w:rsidRPr="004D7EBC" w:rsidRDefault="004D7EBC">
      <w:pPr>
        <w:spacing w:before="120" w:after="120"/>
        <w:rPr>
          <w:lang w:val="en-US"/>
        </w:rPr>
      </w:pPr>
      <w:r w:rsidRPr="004D7EBC">
        <w:rPr>
          <w:lang w:val="en-US"/>
        </w:rPr>
        <w:t xml:space="preserve">Allen J., &amp; </w:t>
      </w:r>
      <w:proofErr w:type="spellStart"/>
      <w:r w:rsidRPr="004D7EBC">
        <w:rPr>
          <w:lang w:val="en-US"/>
        </w:rPr>
        <w:t>Paligorova</w:t>
      </w:r>
      <w:proofErr w:type="spellEnd"/>
      <w:r w:rsidRPr="004D7EBC">
        <w:rPr>
          <w:lang w:val="en-US"/>
        </w:rPr>
        <w:t xml:space="preserve"> T. (2011). Bank Loans for Private and Public Firms in a Credit Crunch. Bank of Canada Working Paper 2011-13.</w:t>
      </w:r>
    </w:p>
    <w:p w:rsidR="008C613C" w:rsidRPr="004D7EBC" w:rsidRDefault="004D7EBC">
      <w:pPr>
        <w:spacing w:before="120" w:after="120"/>
        <w:rPr>
          <w:lang w:val="en-US"/>
        </w:rPr>
      </w:pPr>
      <w:proofErr w:type="spellStart"/>
      <w:r w:rsidRPr="004D7EBC">
        <w:rPr>
          <w:lang w:val="en-US"/>
        </w:rPr>
        <w:t>Alessandrini</w:t>
      </w:r>
      <w:proofErr w:type="spellEnd"/>
      <w:r w:rsidRPr="004D7EBC">
        <w:rPr>
          <w:lang w:val="en-US"/>
        </w:rPr>
        <w:t xml:space="preserve"> G., </w:t>
      </w:r>
      <w:proofErr w:type="spellStart"/>
      <w:r w:rsidRPr="004D7EBC">
        <w:rPr>
          <w:lang w:val="en-US"/>
        </w:rPr>
        <w:t>Presbitero</w:t>
      </w:r>
      <w:proofErr w:type="spellEnd"/>
      <w:r w:rsidRPr="004D7EBC">
        <w:rPr>
          <w:lang w:val="en-US"/>
        </w:rPr>
        <w:t xml:space="preserve">, A.F., </w:t>
      </w:r>
      <w:proofErr w:type="spellStart"/>
      <w:r w:rsidRPr="004D7EBC">
        <w:rPr>
          <w:lang w:val="en-US"/>
        </w:rPr>
        <w:t>Zazzaro</w:t>
      </w:r>
      <w:proofErr w:type="spellEnd"/>
      <w:r w:rsidRPr="004D7EBC">
        <w:rPr>
          <w:lang w:val="en-US"/>
        </w:rPr>
        <w:t xml:space="preserve"> A., (2010) Bank size or distance. What hampers innovation adoption by SMEs?, </w:t>
      </w:r>
      <w:r w:rsidRPr="004D7EBC">
        <w:rPr>
          <w:i/>
          <w:lang w:val="en-US"/>
        </w:rPr>
        <w:t>Journal of Economic Geography</w:t>
      </w:r>
      <w:r w:rsidRPr="004D7EBC">
        <w:rPr>
          <w:lang w:val="en-US"/>
        </w:rPr>
        <w:t>, 10, 6, 845-881.</w:t>
      </w:r>
    </w:p>
    <w:p w:rsidR="008C613C" w:rsidRPr="004D7EBC" w:rsidRDefault="004D7EBC">
      <w:pPr>
        <w:spacing w:before="120" w:after="120"/>
        <w:rPr>
          <w:lang w:val="en-US"/>
        </w:rPr>
      </w:pPr>
      <w:r w:rsidRPr="004D7EBC">
        <w:rPr>
          <w:lang w:val="en-US"/>
        </w:rPr>
        <w:t>Arellano, M, &amp; Bond, S. (1991) Some test of specification for panel data: Monte Carlo evidence and application, to employment equations. Review of Economic Studies, 58, 277– 297.</w:t>
      </w:r>
    </w:p>
    <w:p w:rsidR="008C613C" w:rsidRPr="004D7EBC" w:rsidRDefault="004D7EBC">
      <w:pPr>
        <w:spacing w:before="120" w:after="120"/>
        <w:rPr>
          <w:lang w:val="en-US"/>
        </w:rPr>
      </w:pPr>
      <w:proofErr w:type="spellStart"/>
      <w:r w:rsidRPr="004D7EBC">
        <w:rPr>
          <w:lang w:val="en-US"/>
        </w:rPr>
        <w:t>Baltagi</w:t>
      </w:r>
      <w:proofErr w:type="spellEnd"/>
      <w:r w:rsidRPr="004D7EBC">
        <w:rPr>
          <w:lang w:val="en-US"/>
        </w:rPr>
        <w:t xml:space="preserve">, B. H., </w:t>
      </w:r>
      <w:proofErr w:type="spellStart"/>
      <w:r w:rsidRPr="004D7EBC">
        <w:rPr>
          <w:lang w:val="en-US"/>
        </w:rPr>
        <w:t>Bresson</w:t>
      </w:r>
      <w:proofErr w:type="spellEnd"/>
      <w:r w:rsidRPr="004D7EBC">
        <w:rPr>
          <w:lang w:val="en-US"/>
        </w:rPr>
        <w:t xml:space="preserve"> G., </w:t>
      </w:r>
      <w:proofErr w:type="spellStart"/>
      <w:r w:rsidRPr="004D7EBC">
        <w:rPr>
          <w:lang w:val="en-US"/>
        </w:rPr>
        <w:t>Pirotte</w:t>
      </w:r>
      <w:proofErr w:type="spellEnd"/>
      <w:r w:rsidRPr="004D7EBC">
        <w:rPr>
          <w:lang w:val="en-US"/>
        </w:rPr>
        <w:t xml:space="preserve"> A. (2003). Fixed effects, random effects or </w:t>
      </w:r>
      <w:proofErr w:type="spellStart"/>
      <w:r w:rsidRPr="004D7EBC">
        <w:rPr>
          <w:lang w:val="en-US"/>
        </w:rPr>
        <w:t>Hausman</w:t>
      </w:r>
      <w:proofErr w:type="spellEnd"/>
      <w:r w:rsidRPr="004D7EBC">
        <w:rPr>
          <w:lang w:val="en-US"/>
        </w:rPr>
        <w:t xml:space="preserve">–Taylor?: A pretest estimator. </w:t>
      </w:r>
      <w:r w:rsidRPr="004D7EBC">
        <w:rPr>
          <w:i/>
          <w:lang w:val="en-US"/>
        </w:rPr>
        <w:t>Economics Letters</w:t>
      </w:r>
      <w:r w:rsidRPr="004D7EBC">
        <w:rPr>
          <w:lang w:val="en-US"/>
        </w:rPr>
        <w:t>, 79, 3, 361–369.</w:t>
      </w:r>
    </w:p>
    <w:p w:rsidR="008C613C" w:rsidRPr="004D7EBC" w:rsidRDefault="004D7EBC">
      <w:pPr>
        <w:spacing w:before="120" w:after="120"/>
        <w:rPr>
          <w:lang w:val="en-US"/>
        </w:rPr>
      </w:pPr>
      <w:proofErr w:type="spellStart"/>
      <w:r w:rsidRPr="004D7EBC">
        <w:rPr>
          <w:lang w:val="en-US"/>
        </w:rPr>
        <w:t>Barboni</w:t>
      </w:r>
      <w:proofErr w:type="spellEnd"/>
      <w:r w:rsidRPr="004D7EBC">
        <w:rPr>
          <w:lang w:val="en-US"/>
        </w:rPr>
        <w:t xml:space="preserve">, G. &amp; Rossi, C. (2012). Does your </w:t>
      </w:r>
      <w:proofErr w:type="spellStart"/>
      <w:r w:rsidRPr="004D7EBC">
        <w:rPr>
          <w:lang w:val="en-US"/>
        </w:rPr>
        <w:t>neighbour</w:t>
      </w:r>
      <w:proofErr w:type="spellEnd"/>
      <w:r w:rsidRPr="004D7EBC">
        <w:rPr>
          <w:lang w:val="en-US"/>
        </w:rPr>
        <w:t xml:space="preserve"> know you better? local banks and credit tightening in the financial crisis. Bank of Italy, Bologna, Italy, 30-31 January 2012.</w:t>
      </w:r>
    </w:p>
    <w:p w:rsidR="008C613C" w:rsidRPr="004D7EBC" w:rsidRDefault="004D7EBC">
      <w:pPr>
        <w:spacing w:before="120" w:after="120"/>
        <w:rPr>
          <w:lang w:val="en-US"/>
        </w:rPr>
      </w:pPr>
      <w:r w:rsidRPr="004D7EBC">
        <w:rPr>
          <w:lang w:val="en-US"/>
        </w:rPr>
        <w:t xml:space="preserve">Baum, C.F., Shaffer, M.E., </w:t>
      </w:r>
      <w:proofErr w:type="spellStart"/>
      <w:r w:rsidRPr="004D7EBC">
        <w:rPr>
          <w:lang w:val="en-US"/>
        </w:rPr>
        <w:t>Stillman</w:t>
      </w:r>
      <w:proofErr w:type="spellEnd"/>
      <w:r w:rsidRPr="004D7EBC">
        <w:rPr>
          <w:lang w:val="en-US"/>
        </w:rPr>
        <w:t xml:space="preserve">, S. (2003) Instrumental variables and GMM: estimation and testing, </w:t>
      </w:r>
      <w:r w:rsidRPr="004D7EBC">
        <w:rPr>
          <w:i/>
          <w:lang w:val="en-US"/>
        </w:rPr>
        <w:t>The</w:t>
      </w:r>
      <w:r w:rsidRPr="004D7EBC">
        <w:rPr>
          <w:lang w:val="en-US"/>
        </w:rPr>
        <w:t xml:space="preserve"> </w:t>
      </w:r>
      <w:r w:rsidRPr="004D7EBC">
        <w:rPr>
          <w:i/>
          <w:lang w:val="en-US"/>
        </w:rPr>
        <w:t>Stata Journal</w:t>
      </w:r>
      <w:r w:rsidRPr="004D7EBC">
        <w:rPr>
          <w:lang w:val="en-US"/>
        </w:rPr>
        <w:t>, 3 (1), 1-31.</w:t>
      </w:r>
    </w:p>
    <w:p w:rsidR="008C613C" w:rsidRPr="004D7EBC" w:rsidRDefault="004D7EBC">
      <w:pPr>
        <w:spacing w:before="120" w:after="120"/>
        <w:rPr>
          <w:lang w:val="en-US"/>
        </w:rPr>
      </w:pPr>
      <w:r w:rsidRPr="004D7EBC">
        <w:rPr>
          <w:lang w:val="en-US"/>
        </w:rPr>
        <w:t xml:space="preserve">Berger, A.N. (1999). The ‘big picture’ of relationship finance in Blanton J.L., Williams A., Rhine W.L. (eds.) </w:t>
      </w:r>
      <w:r w:rsidRPr="004D7EBC">
        <w:rPr>
          <w:i/>
          <w:lang w:val="en-US"/>
        </w:rPr>
        <w:t>Business Access to Capital and Credit (A Federal Reserve System Research Conference)</w:t>
      </w:r>
      <w:r w:rsidRPr="004D7EBC">
        <w:rPr>
          <w:lang w:val="en-US"/>
        </w:rPr>
        <w:t>. Federal Reserve Bank of Chicago,   390–400.</w:t>
      </w:r>
    </w:p>
    <w:p w:rsidR="008C613C" w:rsidRPr="004D7EBC" w:rsidRDefault="004D7EBC">
      <w:pPr>
        <w:spacing w:before="120" w:after="120"/>
        <w:rPr>
          <w:lang w:val="en-US"/>
        </w:rPr>
      </w:pPr>
      <w:r w:rsidRPr="004D7EBC">
        <w:rPr>
          <w:lang w:val="en-US"/>
        </w:rPr>
        <w:t xml:space="preserve">Berger, A. N &amp; </w:t>
      </w:r>
      <w:proofErr w:type="spellStart"/>
      <w:r w:rsidRPr="004D7EBC">
        <w:rPr>
          <w:lang w:val="en-US"/>
        </w:rPr>
        <w:t>Udell</w:t>
      </w:r>
      <w:proofErr w:type="spellEnd"/>
      <w:r w:rsidRPr="004D7EBC">
        <w:rPr>
          <w:lang w:val="en-US"/>
        </w:rPr>
        <w:t xml:space="preserve"> G.F. (1998) The economics of small business finance: The roles of private equity and debt markets in the financial growth cycle, </w:t>
      </w:r>
      <w:r w:rsidRPr="00CE10F8">
        <w:rPr>
          <w:i/>
          <w:lang w:val="en-US"/>
        </w:rPr>
        <w:t>Journal of Banking and Finance</w:t>
      </w:r>
      <w:r w:rsidRPr="004D7EBC">
        <w:rPr>
          <w:lang w:val="en-US"/>
        </w:rPr>
        <w:t>, 22 (6-8), 613-673..</w:t>
      </w:r>
    </w:p>
    <w:p w:rsidR="008C613C" w:rsidRPr="004D7EBC" w:rsidRDefault="004D7EBC">
      <w:pPr>
        <w:spacing w:before="120" w:after="120"/>
        <w:rPr>
          <w:lang w:val="en-US"/>
        </w:rPr>
      </w:pPr>
      <w:r w:rsidRPr="004D7EBC">
        <w:rPr>
          <w:lang w:val="en-US"/>
        </w:rPr>
        <w:t xml:space="preserve">Berger, A.N. &amp; </w:t>
      </w:r>
      <w:proofErr w:type="spellStart"/>
      <w:r w:rsidRPr="004D7EBC">
        <w:rPr>
          <w:lang w:val="en-US"/>
        </w:rPr>
        <w:t>Udell</w:t>
      </w:r>
      <w:proofErr w:type="spellEnd"/>
      <w:r w:rsidRPr="004D7EBC">
        <w:rPr>
          <w:lang w:val="en-US"/>
        </w:rPr>
        <w:t xml:space="preserve"> G.F. (2002) Small Business Credit Availability and Relationship Lending: The Importance of Bank </w:t>
      </w:r>
      <w:proofErr w:type="spellStart"/>
      <w:r w:rsidRPr="004D7EBC">
        <w:rPr>
          <w:lang w:val="en-US"/>
        </w:rPr>
        <w:t>Organisational</w:t>
      </w:r>
      <w:proofErr w:type="spellEnd"/>
      <w:r w:rsidRPr="004D7EBC">
        <w:rPr>
          <w:lang w:val="en-US"/>
        </w:rPr>
        <w:t xml:space="preserve"> Structure, </w:t>
      </w:r>
      <w:r w:rsidRPr="004D7EBC">
        <w:rPr>
          <w:i/>
          <w:lang w:val="en-US"/>
        </w:rPr>
        <w:t>The Economic Journal</w:t>
      </w:r>
      <w:r w:rsidRPr="004D7EBC">
        <w:rPr>
          <w:lang w:val="en-US"/>
        </w:rPr>
        <w:t>, 112,   32-53.</w:t>
      </w:r>
    </w:p>
    <w:p w:rsidR="008C613C" w:rsidRPr="004D7EBC" w:rsidRDefault="004D7EBC">
      <w:pPr>
        <w:spacing w:before="120" w:after="120"/>
        <w:rPr>
          <w:lang w:val="en-US"/>
        </w:rPr>
      </w:pPr>
      <w:r w:rsidRPr="004D7EBC">
        <w:rPr>
          <w:lang w:val="en-US"/>
        </w:rPr>
        <w:t xml:space="preserve">Berger A.N. &amp; </w:t>
      </w:r>
      <w:proofErr w:type="spellStart"/>
      <w:r w:rsidRPr="004D7EBC">
        <w:rPr>
          <w:lang w:val="en-US"/>
        </w:rPr>
        <w:t>Udell</w:t>
      </w:r>
      <w:proofErr w:type="spellEnd"/>
      <w:r w:rsidRPr="004D7EBC">
        <w:rPr>
          <w:lang w:val="en-US"/>
        </w:rPr>
        <w:t xml:space="preserve"> G.F. (2006). A more complete conceptual framework for SME finance. </w:t>
      </w:r>
      <w:r w:rsidRPr="004D7EBC">
        <w:rPr>
          <w:i/>
          <w:lang w:val="en-US"/>
        </w:rPr>
        <w:t>Journal of Banking and Finance</w:t>
      </w:r>
      <w:r w:rsidRPr="004D7EBC">
        <w:rPr>
          <w:lang w:val="en-US"/>
        </w:rPr>
        <w:t>, 30, pp 2945-66.</w:t>
      </w:r>
    </w:p>
    <w:p w:rsidR="008C613C" w:rsidRPr="004D7EBC" w:rsidRDefault="004D7EBC">
      <w:pPr>
        <w:spacing w:before="120" w:after="120"/>
        <w:rPr>
          <w:lang w:val="en-US"/>
        </w:rPr>
      </w:pPr>
      <w:r w:rsidRPr="004D7EBC">
        <w:rPr>
          <w:lang w:val="en-US"/>
        </w:rPr>
        <w:t xml:space="preserve">Berger A. N., Saunders A., </w:t>
      </w:r>
      <w:proofErr w:type="spellStart"/>
      <w:r w:rsidRPr="004D7EBC">
        <w:rPr>
          <w:lang w:val="en-US"/>
        </w:rPr>
        <w:t>Scalise</w:t>
      </w:r>
      <w:proofErr w:type="spellEnd"/>
      <w:r w:rsidRPr="004D7EBC">
        <w:rPr>
          <w:lang w:val="en-US"/>
        </w:rPr>
        <w:t xml:space="preserve">, J. M., </w:t>
      </w:r>
      <w:proofErr w:type="spellStart"/>
      <w:r w:rsidRPr="004D7EBC">
        <w:rPr>
          <w:lang w:val="en-US"/>
        </w:rPr>
        <w:t>Udell</w:t>
      </w:r>
      <w:proofErr w:type="spellEnd"/>
      <w:r w:rsidRPr="004D7EBC">
        <w:rPr>
          <w:lang w:val="en-US"/>
        </w:rPr>
        <w:t xml:space="preserve"> G.F. (1998). The effect of bank mergers and acquisition on small business lending. </w:t>
      </w:r>
      <w:r w:rsidRPr="004D7EBC">
        <w:rPr>
          <w:i/>
          <w:lang w:val="en-US"/>
        </w:rPr>
        <w:t>Journal of Financial Economics</w:t>
      </w:r>
      <w:r w:rsidRPr="004D7EBC">
        <w:rPr>
          <w:lang w:val="en-US"/>
        </w:rPr>
        <w:t xml:space="preserve">, 50 (2), 187-229. </w:t>
      </w:r>
    </w:p>
    <w:p w:rsidR="008C613C" w:rsidRPr="004D7EBC" w:rsidRDefault="004D7EBC">
      <w:pPr>
        <w:spacing w:before="120" w:after="120"/>
        <w:rPr>
          <w:lang w:val="en-US"/>
        </w:rPr>
      </w:pPr>
      <w:r w:rsidRPr="004D7EBC">
        <w:rPr>
          <w:lang w:val="en-US"/>
        </w:rPr>
        <w:lastRenderedPageBreak/>
        <w:t xml:space="preserve">Berger A.N, </w:t>
      </w:r>
      <w:proofErr w:type="spellStart"/>
      <w:r w:rsidRPr="004D7EBC">
        <w:rPr>
          <w:lang w:val="en-US"/>
        </w:rPr>
        <w:t>Udell</w:t>
      </w:r>
      <w:proofErr w:type="spellEnd"/>
      <w:r w:rsidRPr="004D7EBC">
        <w:rPr>
          <w:lang w:val="en-US"/>
        </w:rPr>
        <w:t xml:space="preserve"> G.F., </w:t>
      </w:r>
      <w:proofErr w:type="spellStart"/>
      <w:r w:rsidRPr="004D7EBC">
        <w:rPr>
          <w:lang w:val="en-US"/>
        </w:rPr>
        <w:t>Klapper</w:t>
      </w:r>
      <w:proofErr w:type="spellEnd"/>
      <w:r w:rsidRPr="004D7EBC">
        <w:rPr>
          <w:lang w:val="en-US"/>
        </w:rPr>
        <w:t xml:space="preserve">, L. F. (2001). The ability of banks to lend to informationally opaque small businesses. </w:t>
      </w:r>
      <w:r w:rsidRPr="004D7EBC">
        <w:rPr>
          <w:i/>
          <w:lang w:val="en-US"/>
        </w:rPr>
        <w:t>Journal of Banking and Finance</w:t>
      </w:r>
      <w:r w:rsidRPr="004D7EBC">
        <w:rPr>
          <w:lang w:val="en-US"/>
        </w:rPr>
        <w:t xml:space="preserve">, vol. 25, n. 12,   2127-2167. </w:t>
      </w:r>
    </w:p>
    <w:p w:rsidR="008C613C" w:rsidRPr="004D7EBC" w:rsidRDefault="004D7EBC">
      <w:pPr>
        <w:spacing w:before="120" w:after="120"/>
        <w:rPr>
          <w:lang w:val="en-US"/>
        </w:rPr>
      </w:pPr>
      <w:r w:rsidRPr="004D7EBC">
        <w:rPr>
          <w:lang w:val="en-US"/>
        </w:rPr>
        <w:t xml:space="preserve">Berger, A.N., </w:t>
      </w:r>
      <w:proofErr w:type="spellStart"/>
      <w:r w:rsidRPr="004D7EBC">
        <w:rPr>
          <w:lang w:val="en-US"/>
        </w:rPr>
        <w:t>Klapper</w:t>
      </w:r>
      <w:proofErr w:type="spellEnd"/>
      <w:r w:rsidRPr="004D7EBC">
        <w:rPr>
          <w:lang w:val="en-US"/>
        </w:rPr>
        <w:t xml:space="preserve"> L.F., Martinez </w:t>
      </w:r>
      <w:proofErr w:type="spellStart"/>
      <w:r w:rsidRPr="004D7EBC">
        <w:rPr>
          <w:lang w:val="en-US"/>
        </w:rPr>
        <w:t>Peria</w:t>
      </w:r>
      <w:proofErr w:type="spellEnd"/>
      <w:r w:rsidRPr="004D7EBC">
        <w:rPr>
          <w:lang w:val="en-US"/>
        </w:rPr>
        <w:t xml:space="preserve">, M.S., Zaidi, R. (2008). Bank ownership type and banking relationships. </w:t>
      </w:r>
      <w:r w:rsidRPr="004D7EBC">
        <w:rPr>
          <w:i/>
          <w:lang w:val="en-US"/>
        </w:rPr>
        <w:t>Journal of Financial Intermediation</w:t>
      </w:r>
      <w:r w:rsidRPr="004D7EBC">
        <w:rPr>
          <w:lang w:val="en-US"/>
        </w:rPr>
        <w:t>, 17, 37-62.</w:t>
      </w:r>
    </w:p>
    <w:p w:rsidR="008C613C" w:rsidRPr="004D7EBC" w:rsidRDefault="004D7EBC">
      <w:pPr>
        <w:spacing w:before="120" w:after="120"/>
        <w:rPr>
          <w:lang w:val="en-US"/>
        </w:rPr>
      </w:pPr>
      <w:r w:rsidRPr="004D7EBC">
        <w:rPr>
          <w:lang w:val="en-US"/>
        </w:rPr>
        <w:t>Berger, A.N., Goulding W., Rice T. (2013). Do small businesses still prefer community banks? International Finance Discussion Papers, N. 1096.</w:t>
      </w:r>
    </w:p>
    <w:p w:rsidR="008C613C" w:rsidRPr="004D7EBC" w:rsidRDefault="004D7EBC">
      <w:pPr>
        <w:spacing w:before="120" w:after="120"/>
        <w:rPr>
          <w:lang w:val="en-US"/>
        </w:rPr>
      </w:pPr>
      <w:r w:rsidRPr="004D7EBC">
        <w:rPr>
          <w:lang w:val="en-US"/>
        </w:rPr>
        <w:t xml:space="preserve">Bhattacharya S.  &amp; </w:t>
      </w:r>
      <w:proofErr w:type="spellStart"/>
      <w:r w:rsidRPr="004D7EBC">
        <w:rPr>
          <w:lang w:val="en-US"/>
        </w:rPr>
        <w:t>Thakor</w:t>
      </w:r>
      <w:proofErr w:type="spellEnd"/>
      <w:r w:rsidRPr="004D7EBC">
        <w:rPr>
          <w:lang w:val="en-US"/>
        </w:rPr>
        <w:t xml:space="preserve"> A.V. (1993) Contemporary banking theory,</w:t>
      </w:r>
      <w:r w:rsidRPr="004D7EBC">
        <w:rPr>
          <w:i/>
          <w:lang w:val="en-US"/>
        </w:rPr>
        <w:t xml:space="preserve"> Journal of Financial Intermediation</w:t>
      </w:r>
      <w:r w:rsidRPr="004D7EBC">
        <w:rPr>
          <w:lang w:val="en-US"/>
        </w:rPr>
        <w:t>, vol. 3, n. 1,   2-50.</w:t>
      </w:r>
    </w:p>
    <w:p w:rsidR="008C613C" w:rsidRPr="004D7EBC" w:rsidRDefault="004D7EBC">
      <w:pPr>
        <w:spacing w:before="120" w:after="120"/>
        <w:rPr>
          <w:lang w:val="en-US"/>
        </w:rPr>
      </w:pPr>
      <w:proofErr w:type="spellStart"/>
      <w:r w:rsidRPr="004D7EBC">
        <w:rPr>
          <w:lang w:val="en-US"/>
        </w:rPr>
        <w:t>Bodenhorn</w:t>
      </w:r>
      <w:proofErr w:type="spellEnd"/>
      <w:r w:rsidRPr="004D7EBC">
        <w:rPr>
          <w:lang w:val="en-US"/>
        </w:rPr>
        <w:t xml:space="preserve"> H. (2003) Short-Term Loans  and Long-Term Relationships: Relationship Lending in Early America, </w:t>
      </w:r>
      <w:r w:rsidRPr="004D7EBC">
        <w:rPr>
          <w:i/>
          <w:lang w:val="en-US"/>
        </w:rPr>
        <w:t>Journal of Money, Credit  &amp; Banking</w:t>
      </w:r>
      <w:r w:rsidRPr="004D7EBC">
        <w:rPr>
          <w:lang w:val="en-US"/>
        </w:rPr>
        <w:t>, 35,   485-505.</w:t>
      </w:r>
    </w:p>
    <w:p w:rsidR="008C613C" w:rsidRPr="004D7EBC" w:rsidRDefault="004D7EBC">
      <w:pPr>
        <w:spacing w:before="120" w:after="120"/>
        <w:rPr>
          <w:lang w:val="en-US"/>
        </w:rPr>
      </w:pPr>
      <w:r w:rsidRPr="004D7EBC">
        <w:rPr>
          <w:lang w:val="en-US"/>
        </w:rPr>
        <w:t xml:space="preserve">Bolton P., </w:t>
      </w:r>
      <w:proofErr w:type="spellStart"/>
      <w:r w:rsidRPr="004D7EBC">
        <w:rPr>
          <w:lang w:val="en-US"/>
        </w:rPr>
        <w:t>Freixas</w:t>
      </w:r>
      <w:proofErr w:type="spellEnd"/>
      <w:r w:rsidRPr="004D7EBC">
        <w:rPr>
          <w:lang w:val="en-US"/>
        </w:rPr>
        <w:t xml:space="preserve">, X., </w:t>
      </w:r>
      <w:proofErr w:type="spellStart"/>
      <w:r w:rsidRPr="004D7EBC">
        <w:rPr>
          <w:lang w:val="en-US"/>
        </w:rPr>
        <w:t>Gambacorta</w:t>
      </w:r>
      <w:proofErr w:type="spellEnd"/>
      <w:r w:rsidRPr="004D7EBC">
        <w:rPr>
          <w:lang w:val="en-US"/>
        </w:rPr>
        <w:t xml:space="preserve">, L., </w:t>
      </w:r>
      <w:proofErr w:type="spellStart"/>
      <w:r w:rsidRPr="004D7EBC">
        <w:rPr>
          <w:lang w:val="en-US"/>
        </w:rPr>
        <w:t>Mistrulli</w:t>
      </w:r>
      <w:proofErr w:type="spellEnd"/>
      <w:r w:rsidRPr="004D7EBC">
        <w:rPr>
          <w:lang w:val="en-US"/>
        </w:rPr>
        <w:t xml:space="preserve"> P. E. (2013) Relationship  and transaction lending in a crisis, Banca </w:t>
      </w:r>
      <w:proofErr w:type="spellStart"/>
      <w:r w:rsidRPr="004D7EBC">
        <w:rPr>
          <w:lang w:val="en-US"/>
        </w:rPr>
        <w:t>d’Italia</w:t>
      </w:r>
      <w:proofErr w:type="spellEnd"/>
      <w:r w:rsidRPr="004D7EBC">
        <w:rPr>
          <w:lang w:val="en-US"/>
        </w:rPr>
        <w:t xml:space="preserve"> Working Papers N. 917.</w:t>
      </w:r>
    </w:p>
    <w:p w:rsidR="008C613C" w:rsidRPr="004D7EBC" w:rsidRDefault="004D7EBC">
      <w:pPr>
        <w:spacing w:before="120" w:after="120"/>
        <w:rPr>
          <w:lang w:val="en-US"/>
        </w:rPr>
      </w:pPr>
      <w:r w:rsidRPr="004D7EBC">
        <w:rPr>
          <w:lang w:val="en-US"/>
        </w:rPr>
        <w:t xml:space="preserve">Boot A.W.A. (2000) Relationship banking: what do we know?, </w:t>
      </w:r>
      <w:r w:rsidRPr="004D7EBC">
        <w:rPr>
          <w:i/>
          <w:lang w:val="en-US"/>
        </w:rPr>
        <w:t>Journal of Financial Intermediation</w:t>
      </w:r>
      <w:r w:rsidRPr="004D7EBC">
        <w:rPr>
          <w:lang w:val="en-US"/>
        </w:rPr>
        <w:t>, 9, 7-25.</w:t>
      </w:r>
    </w:p>
    <w:p w:rsidR="008C613C" w:rsidRPr="004D7EBC" w:rsidRDefault="004D7EBC">
      <w:pPr>
        <w:spacing w:before="120" w:after="120"/>
        <w:rPr>
          <w:lang w:val="en-US"/>
        </w:rPr>
      </w:pPr>
      <w:proofErr w:type="spellStart"/>
      <w:r w:rsidRPr="004D7EBC">
        <w:rPr>
          <w:lang w:val="en-US"/>
        </w:rPr>
        <w:t>Brunnermeier</w:t>
      </w:r>
      <w:proofErr w:type="spellEnd"/>
      <w:r w:rsidRPr="004D7EBC">
        <w:rPr>
          <w:lang w:val="en-US"/>
        </w:rPr>
        <w:t xml:space="preserve">, M. K. (2009). Deciphering the liquidity  and credit Crunch 2007-2008, </w:t>
      </w:r>
      <w:r w:rsidRPr="004D7EBC">
        <w:rPr>
          <w:i/>
          <w:lang w:val="en-US"/>
        </w:rPr>
        <w:t>Journal of Economic Perspectives</w:t>
      </w:r>
      <w:r w:rsidRPr="004D7EBC">
        <w:rPr>
          <w:lang w:val="en-US"/>
        </w:rPr>
        <w:t>, 23, 1, 77-100.</w:t>
      </w:r>
    </w:p>
    <w:p w:rsidR="008C613C" w:rsidRPr="004D7EBC" w:rsidRDefault="004D7EBC">
      <w:pPr>
        <w:spacing w:before="120" w:after="120"/>
        <w:rPr>
          <w:lang w:val="en-US"/>
        </w:rPr>
      </w:pPr>
      <w:r w:rsidRPr="004D7EBC">
        <w:rPr>
          <w:lang w:val="en-US"/>
        </w:rPr>
        <w:t>Canales R., Nanda R. (2012).</w:t>
      </w:r>
      <w:r w:rsidRPr="004D7EBC">
        <w:rPr>
          <w:sz w:val="20"/>
          <w:szCs w:val="20"/>
          <w:lang w:val="en-US"/>
        </w:rPr>
        <w:t xml:space="preserve"> </w:t>
      </w:r>
      <w:r w:rsidRPr="004D7EBC">
        <w:rPr>
          <w:lang w:val="en-US"/>
        </w:rPr>
        <w:t xml:space="preserve">A darker side to decentralized banks: market power and credit rationing in SME lending, </w:t>
      </w:r>
      <w:r w:rsidRPr="00CE10F8">
        <w:rPr>
          <w:i/>
          <w:lang w:val="en-US"/>
        </w:rPr>
        <w:t>Journal</w:t>
      </w:r>
      <w:r w:rsidRPr="004D7EBC">
        <w:rPr>
          <w:i/>
          <w:lang w:val="en-US"/>
        </w:rPr>
        <w:t xml:space="preserve"> </w:t>
      </w:r>
      <w:r w:rsidRPr="004D7EBC">
        <w:rPr>
          <w:lang w:val="en-US"/>
        </w:rPr>
        <w:t>of Financial Economics, 105, 353–366.</w:t>
      </w:r>
    </w:p>
    <w:p w:rsidR="008C613C" w:rsidRPr="004D7EBC" w:rsidRDefault="004D7EBC">
      <w:pPr>
        <w:spacing w:before="120" w:after="120"/>
        <w:rPr>
          <w:lang w:val="en-US"/>
        </w:rPr>
      </w:pPr>
      <w:r w:rsidRPr="004D7EBC">
        <w:rPr>
          <w:lang w:val="en-US"/>
        </w:rPr>
        <w:t>Cole R.A., Goldberg L.G.,  &amp; White L.J. (2004). Cookie cutter vs. character: the micro structure of small business lending by large and small banks</w:t>
      </w:r>
      <w:r w:rsidRPr="004D7EBC">
        <w:rPr>
          <w:i/>
          <w:lang w:val="en-US"/>
        </w:rPr>
        <w:t>, Journal of Financial  and Quantitative Analysis</w:t>
      </w:r>
      <w:r w:rsidRPr="004D7EBC">
        <w:rPr>
          <w:lang w:val="en-US"/>
        </w:rPr>
        <w:t xml:space="preserve"> , 39, 227-251</w:t>
      </w:r>
    </w:p>
    <w:p w:rsidR="008C613C" w:rsidRPr="004D7EBC" w:rsidRDefault="004D7EBC">
      <w:pPr>
        <w:spacing w:before="120" w:after="120"/>
        <w:rPr>
          <w:lang w:val="en-US"/>
        </w:rPr>
      </w:pPr>
      <w:proofErr w:type="spellStart"/>
      <w:r w:rsidRPr="004D7EBC">
        <w:rPr>
          <w:lang w:val="en-US"/>
        </w:rPr>
        <w:t>Cetorelli</w:t>
      </w:r>
      <w:proofErr w:type="spellEnd"/>
      <w:r w:rsidRPr="004D7EBC">
        <w:rPr>
          <w:lang w:val="en-US"/>
        </w:rPr>
        <w:t xml:space="preserve">, N., Goldberg L. S. (2011), Global banks  and international shock transmission: evidence from the crisis. </w:t>
      </w:r>
      <w:r w:rsidRPr="004D7EBC">
        <w:rPr>
          <w:i/>
          <w:lang w:val="en-US"/>
        </w:rPr>
        <w:t>IMF Economic Review</w:t>
      </w:r>
      <w:r w:rsidRPr="004D7EBC">
        <w:rPr>
          <w:lang w:val="en-US"/>
        </w:rPr>
        <w:t>, 59, 41-76.</w:t>
      </w:r>
    </w:p>
    <w:p w:rsidR="008C613C" w:rsidRDefault="004D7EBC">
      <w:pPr>
        <w:spacing w:before="120" w:after="120"/>
      </w:pPr>
      <w:proofErr w:type="spellStart"/>
      <w:r w:rsidRPr="004D7EBC">
        <w:rPr>
          <w:lang w:val="en-US"/>
        </w:rPr>
        <w:t>Cotugno</w:t>
      </w:r>
      <w:proofErr w:type="spellEnd"/>
      <w:r w:rsidRPr="004D7EBC">
        <w:rPr>
          <w:lang w:val="en-US"/>
        </w:rPr>
        <w:t xml:space="preserve"> M. </w:t>
      </w:r>
      <w:proofErr w:type="spellStart"/>
      <w:r w:rsidRPr="004D7EBC">
        <w:rPr>
          <w:lang w:val="en-US"/>
        </w:rPr>
        <w:t>Stefanelli</w:t>
      </w:r>
      <w:proofErr w:type="spellEnd"/>
      <w:r w:rsidRPr="004D7EBC">
        <w:rPr>
          <w:lang w:val="en-US"/>
        </w:rPr>
        <w:t xml:space="preserve"> V., </w:t>
      </w:r>
      <w:proofErr w:type="spellStart"/>
      <w:r w:rsidRPr="004D7EBC">
        <w:rPr>
          <w:lang w:val="en-US"/>
        </w:rPr>
        <w:t>Torluccio</w:t>
      </w:r>
      <w:proofErr w:type="spellEnd"/>
      <w:r w:rsidRPr="004D7EBC">
        <w:rPr>
          <w:lang w:val="en-US"/>
        </w:rPr>
        <w:t xml:space="preserve"> G. (2013). Relationship lending, default rate  and loan portfolio quality. </w:t>
      </w:r>
      <w:proofErr w:type="spellStart"/>
      <w:r>
        <w:rPr>
          <w:i/>
        </w:rPr>
        <w:t>Applied</w:t>
      </w:r>
      <w:proofErr w:type="spellEnd"/>
      <w:r>
        <w:rPr>
          <w:i/>
        </w:rPr>
        <w:t xml:space="preserve"> Financial </w:t>
      </w:r>
      <w:proofErr w:type="spellStart"/>
      <w:r>
        <w:rPr>
          <w:i/>
        </w:rPr>
        <w:t>Economics</w:t>
      </w:r>
      <w:proofErr w:type="spellEnd"/>
      <w:r>
        <w:t>, 23:7, 573-587</w:t>
      </w:r>
    </w:p>
    <w:p w:rsidR="008C613C" w:rsidRDefault="004D7EBC">
      <w:pPr>
        <w:spacing w:before="120" w:after="120"/>
      </w:pPr>
      <w:r>
        <w:lastRenderedPageBreak/>
        <w:t xml:space="preserve">De </w:t>
      </w:r>
      <w:proofErr w:type="spellStart"/>
      <w:r>
        <w:t>Bonis</w:t>
      </w:r>
      <w:proofErr w:type="spellEnd"/>
      <w:r>
        <w:t xml:space="preserve">, R., Ferri, G., Rotondi Z. (2008). </w:t>
      </w:r>
      <w:proofErr w:type="spellStart"/>
      <w:r>
        <w:t>Firms</w:t>
      </w:r>
      <w:proofErr w:type="spellEnd"/>
      <w:r>
        <w:t xml:space="preserve">’ </w:t>
      </w:r>
      <w:proofErr w:type="spellStart"/>
      <w:r>
        <w:t>internationalization</w:t>
      </w:r>
      <w:proofErr w:type="spellEnd"/>
      <w:r>
        <w:t xml:space="preserve">  and </w:t>
      </w:r>
      <w:proofErr w:type="spellStart"/>
      <w:r>
        <w:t>relationships</w:t>
      </w:r>
      <w:proofErr w:type="spellEnd"/>
      <w:r>
        <w:t xml:space="preserve"> with </w:t>
      </w:r>
      <w:proofErr w:type="spellStart"/>
      <w:r>
        <w:t>banks</w:t>
      </w:r>
      <w:proofErr w:type="spellEnd"/>
      <w:r>
        <w:t xml:space="preserve">, in Bracchi G., Masci &amp;aro D. (a cura di) </w:t>
      </w:r>
      <w:r>
        <w:rPr>
          <w:i/>
        </w:rPr>
        <w:t>Banche italiane e governo dei rischi</w:t>
      </w:r>
      <w:r>
        <w:t>. Bancaria Editrice, Milano.</w:t>
      </w:r>
    </w:p>
    <w:p w:rsidR="008C613C" w:rsidRPr="004D7EBC" w:rsidRDefault="004D7EBC">
      <w:pPr>
        <w:spacing w:before="120" w:after="120"/>
        <w:rPr>
          <w:lang w:val="en-US"/>
        </w:rPr>
      </w:pPr>
      <w:r>
        <w:t xml:space="preserve">De Mitri S., Gobbi G., Sette E. (2010). </w:t>
      </w:r>
      <w:r w:rsidRPr="004D7EBC">
        <w:rPr>
          <w:lang w:val="en-US"/>
        </w:rPr>
        <w:t xml:space="preserve">Relationship lending in a financial turmoil, Banca </w:t>
      </w:r>
      <w:proofErr w:type="spellStart"/>
      <w:r w:rsidRPr="004D7EBC">
        <w:rPr>
          <w:lang w:val="en-US"/>
        </w:rPr>
        <w:t>d’Italia</w:t>
      </w:r>
      <w:proofErr w:type="spellEnd"/>
      <w:r w:rsidRPr="004D7EBC">
        <w:rPr>
          <w:lang w:val="en-US"/>
        </w:rPr>
        <w:t xml:space="preserve"> Working Papers n.772. </w:t>
      </w:r>
    </w:p>
    <w:p w:rsidR="008C613C" w:rsidRPr="004D7EBC" w:rsidRDefault="004D7EBC">
      <w:pPr>
        <w:spacing w:before="120" w:after="120"/>
        <w:rPr>
          <w:lang w:val="en-US"/>
        </w:rPr>
      </w:pPr>
      <w:proofErr w:type="spellStart"/>
      <w:r>
        <w:t>Deloof</w:t>
      </w:r>
      <w:proofErr w:type="spellEnd"/>
      <w:r>
        <w:t xml:space="preserve"> M., La Rocca M. (2015). </w:t>
      </w:r>
      <w:r w:rsidRPr="004D7EBC">
        <w:rPr>
          <w:lang w:val="en-US"/>
        </w:rPr>
        <w:t xml:space="preserve">Local financial development and the trade credit policy of Italian SME, </w:t>
      </w:r>
      <w:r w:rsidRPr="004D7EBC">
        <w:rPr>
          <w:i/>
          <w:lang w:val="en-US"/>
        </w:rPr>
        <w:t>Small Business Economics</w:t>
      </w:r>
      <w:r w:rsidRPr="004D7EBC">
        <w:rPr>
          <w:lang w:val="en-US"/>
        </w:rPr>
        <w:t xml:space="preserve">, 44, 905-924. </w:t>
      </w:r>
    </w:p>
    <w:p w:rsidR="008C613C" w:rsidRPr="004D7EBC" w:rsidRDefault="004D7EBC">
      <w:pPr>
        <w:spacing w:before="120" w:after="120"/>
        <w:rPr>
          <w:lang w:val="en-US"/>
        </w:rPr>
      </w:pPr>
      <w:r w:rsidRPr="004D7EBC">
        <w:rPr>
          <w:lang w:val="en-US"/>
        </w:rPr>
        <w:t xml:space="preserve">DeYoung, R., Hunter W.C., </w:t>
      </w:r>
      <w:proofErr w:type="spellStart"/>
      <w:r w:rsidRPr="004D7EBC">
        <w:rPr>
          <w:lang w:val="en-US"/>
        </w:rPr>
        <w:t>Udell</w:t>
      </w:r>
      <w:proofErr w:type="spellEnd"/>
      <w:r w:rsidRPr="004D7EBC">
        <w:rPr>
          <w:lang w:val="en-US"/>
        </w:rPr>
        <w:t xml:space="preserve"> G.F. (2004). Whither the Community Bank?  </w:t>
      </w:r>
      <w:r w:rsidRPr="004D7EBC">
        <w:rPr>
          <w:i/>
          <w:lang w:val="en-US"/>
        </w:rPr>
        <w:t>Journal of Financial Services Research</w:t>
      </w:r>
      <w:r w:rsidRPr="004D7EBC">
        <w:rPr>
          <w:lang w:val="en-US"/>
        </w:rPr>
        <w:t>, 25,   81-84.</w:t>
      </w:r>
    </w:p>
    <w:p w:rsidR="008C613C" w:rsidRPr="004D7EBC" w:rsidRDefault="004D7EBC">
      <w:pPr>
        <w:spacing w:before="120" w:after="120"/>
        <w:rPr>
          <w:lang w:val="en-US"/>
        </w:rPr>
      </w:pPr>
      <w:r w:rsidRPr="004D7EBC">
        <w:rPr>
          <w:lang w:val="en-US"/>
        </w:rPr>
        <w:t xml:space="preserve">De Young R. </w:t>
      </w:r>
      <w:proofErr w:type="spellStart"/>
      <w:r w:rsidRPr="004D7EBC">
        <w:rPr>
          <w:lang w:val="en-US"/>
        </w:rPr>
        <w:t>Gron</w:t>
      </w:r>
      <w:proofErr w:type="spellEnd"/>
      <w:r w:rsidRPr="004D7EBC">
        <w:rPr>
          <w:lang w:val="en-US"/>
        </w:rPr>
        <w:t xml:space="preserve"> A., </w:t>
      </w:r>
      <w:proofErr w:type="spellStart"/>
      <w:r w:rsidRPr="004D7EBC">
        <w:rPr>
          <w:lang w:val="en-US"/>
        </w:rPr>
        <w:t>Torna</w:t>
      </w:r>
      <w:proofErr w:type="spellEnd"/>
      <w:r w:rsidRPr="004D7EBC">
        <w:rPr>
          <w:lang w:val="en-US"/>
        </w:rPr>
        <w:t xml:space="preserve"> G., Winton A. (2015), Risk overhang and loan portfolio decisions: small business loan supply before  &amp; during the financial crisis, </w:t>
      </w:r>
      <w:r w:rsidRPr="004D7EBC">
        <w:rPr>
          <w:i/>
          <w:lang w:val="en-US"/>
        </w:rPr>
        <w:t>Journal of Finance</w:t>
      </w:r>
      <w:r w:rsidRPr="004D7EBC">
        <w:rPr>
          <w:lang w:val="en-US"/>
        </w:rPr>
        <w:t>, 70 (6), 2451–2488.</w:t>
      </w:r>
    </w:p>
    <w:p w:rsidR="008C613C" w:rsidRPr="004D7EBC" w:rsidRDefault="004D7EBC">
      <w:pPr>
        <w:spacing w:before="120" w:after="120"/>
        <w:rPr>
          <w:lang w:val="en-US"/>
        </w:rPr>
      </w:pPr>
      <w:proofErr w:type="spellStart"/>
      <w:r w:rsidRPr="004D7EBC">
        <w:rPr>
          <w:lang w:val="en-US"/>
        </w:rPr>
        <w:t>Elsas</w:t>
      </w:r>
      <w:proofErr w:type="spellEnd"/>
      <w:r w:rsidRPr="004D7EBC">
        <w:rPr>
          <w:lang w:val="en-US"/>
        </w:rPr>
        <w:t xml:space="preserve"> R., &amp; </w:t>
      </w:r>
      <w:proofErr w:type="spellStart"/>
      <w:r w:rsidRPr="004D7EBC">
        <w:rPr>
          <w:lang w:val="en-US"/>
        </w:rPr>
        <w:t>Krahnen</w:t>
      </w:r>
      <w:proofErr w:type="spellEnd"/>
      <w:r w:rsidRPr="004D7EBC">
        <w:rPr>
          <w:lang w:val="en-US"/>
        </w:rPr>
        <w:t xml:space="preserve"> J.P. (1998). Is Relationship Lending Special? Evidence from Credit-File Data in Germany. </w:t>
      </w:r>
      <w:r w:rsidRPr="004D7EBC">
        <w:rPr>
          <w:i/>
          <w:lang w:val="en-US"/>
        </w:rPr>
        <w:t>Journal of Banking  &amp; Finance</w:t>
      </w:r>
      <w:r w:rsidRPr="004D7EBC">
        <w:rPr>
          <w:lang w:val="en-US"/>
        </w:rPr>
        <w:t>, 22, 1283-1316.</w:t>
      </w:r>
    </w:p>
    <w:p w:rsidR="008C613C" w:rsidRPr="004D7EBC" w:rsidRDefault="004D7EBC">
      <w:pPr>
        <w:spacing w:before="120" w:after="120"/>
        <w:rPr>
          <w:lang w:val="en-US"/>
        </w:rPr>
      </w:pPr>
      <w:r w:rsidRPr="004D7EBC">
        <w:rPr>
          <w:lang w:val="en-US"/>
        </w:rPr>
        <w:t xml:space="preserve">European Commission (2009). De la </w:t>
      </w:r>
      <w:proofErr w:type="spellStart"/>
      <w:r w:rsidRPr="004D7EBC">
        <w:rPr>
          <w:lang w:val="en-US"/>
        </w:rPr>
        <w:t>Rosiére</w:t>
      </w:r>
      <w:proofErr w:type="spellEnd"/>
      <w:r w:rsidRPr="004D7EBC">
        <w:rPr>
          <w:lang w:val="en-US"/>
        </w:rPr>
        <w:t xml:space="preserve"> Group Report on Financial Supervision in the EU. </w:t>
      </w:r>
      <w:proofErr w:type="spellStart"/>
      <w:r w:rsidRPr="004D7EBC">
        <w:rPr>
          <w:lang w:val="en-US"/>
        </w:rPr>
        <w:t>Bruxelles</w:t>
      </w:r>
      <w:proofErr w:type="spellEnd"/>
      <w:r w:rsidRPr="004D7EBC">
        <w:rPr>
          <w:lang w:val="en-US"/>
        </w:rPr>
        <w:t>.</w:t>
      </w:r>
    </w:p>
    <w:p w:rsidR="008C613C" w:rsidRPr="004D7EBC" w:rsidRDefault="004D7EBC">
      <w:pPr>
        <w:spacing w:before="120" w:after="120"/>
        <w:rPr>
          <w:lang w:val="en-US"/>
        </w:rPr>
      </w:pPr>
      <w:proofErr w:type="spellStart"/>
      <w:r w:rsidRPr="004D7EBC">
        <w:rPr>
          <w:lang w:val="en-US"/>
        </w:rPr>
        <w:t>Ferri</w:t>
      </w:r>
      <w:proofErr w:type="spellEnd"/>
      <w:r w:rsidRPr="004D7EBC">
        <w:rPr>
          <w:lang w:val="en-US"/>
        </w:rPr>
        <w:t xml:space="preserve">, G., &amp; </w:t>
      </w:r>
      <w:proofErr w:type="spellStart"/>
      <w:r w:rsidRPr="004D7EBC">
        <w:rPr>
          <w:lang w:val="en-US"/>
        </w:rPr>
        <w:t>Messori</w:t>
      </w:r>
      <w:proofErr w:type="spellEnd"/>
      <w:r w:rsidRPr="004D7EBC">
        <w:rPr>
          <w:lang w:val="en-US"/>
        </w:rPr>
        <w:t xml:space="preserve"> M. (2000). Bank-firm relationships and allocative efficiency in Northeastern  and Central Italy  &amp; in the South, </w:t>
      </w:r>
      <w:r w:rsidRPr="004D7EBC">
        <w:rPr>
          <w:i/>
          <w:lang w:val="en-US"/>
        </w:rPr>
        <w:t>Journal of Banking  &amp; Finance</w:t>
      </w:r>
      <w:r w:rsidRPr="004D7EBC">
        <w:rPr>
          <w:lang w:val="en-US"/>
        </w:rPr>
        <w:t>, 24, 6, 1067-1095.</w:t>
      </w:r>
    </w:p>
    <w:p w:rsidR="008C613C" w:rsidRPr="004D7EBC" w:rsidRDefault="004D7EBC">
      <w:pPr>
        <w:spacing w:before="120" w:after="120"/>
        <w:rPr>
          <w:lang w:val="en-US"/>
        </w:rPr>
      </w:pPr>
      <w:r w:rsidRPr="004D7EBC">
        <w:rPr>
          <w:lang w:val="en-US"/>
        </w:rPr>
        <w:t>Financial Service Authority (2009). A regulatory response to the global banking crisis. Discussion Paper n. 09/2, London.</w:t>
      </w:r>
    </w:p>
    <w:p w:rsidR="008C613C" w:rsidRPr="004D7EBC" w:rsidRDefault="004D7EBC">
      <w:pPr>
        <w:spacing w:before="120" w:after="120"/>
        <w:rPr>
          <w:lang w:val="en-US"/>
        </w:rPr>
      </w:pPr>
      <w:proofErr w:type="spellStart"/>
      <w:r w:rsidRPr="004D7EBC">
        <w:rPr>
          <w:lang w:val="en-US"/>
        </w:rPr>
        <w:t>Furfine</w:t>
      </w:r>
      <w:proofErr w:type="spellEnd"/>
      <w:r w:rsidRPr="004D7EBC">
        <w:rPr>
          <w:lang w:val="en-US"/>
        </w:rPr>
        <w:t xml:space="preserve">, C. (2003). Interbank exposures: Quantifying the risk of contagion. </w:t>
      </w:r>
      <w:r w:rsidRPr="004D7EBC">
        <w:rPr>
          <w:i/>
          <w:lang w:val="en-US"/>
        </w:rPr>
        <w:t>Journal of Money, Credit,  &amp; Banking</w:t>
      </w:r>
      <w:r w:rsidRPr="004D7EBC">
        <w:rPr>
          <w:lang w:val="en-US"/>
        </w:rPr>
        <w:t xml:space="preserve"> 35, 111–128</w:t>
      </w:r>
    </w:p>
    <w:p w:rsidR="008C613C" w:rsidRPr="004D7EBC" w:rsidRDefault="004D7EBC">
      <w:pPr>
        <w:spacing w:before="120" w:after="120"/>
        <w:rPr>
          <w:lang w:val="en-US"/>
        </w:rPr>
      </w:pPr>
      <w:proofErr w:type="spellStart"/>
      <w:r w:rsidRPr="004D7EBC">
        <w:rPr>
          <w:lang w:val="en-US"/>
        </w:rPr>
        <w:t>Gambacorta</w:t>
      </w:r>
      <w:proofErr w:type="spellEnd"/>
      <w:r w:rsidRPr="004D7EBC">
        <w:rPr>
          <w:lang w:val="en-US"/>
        </w:rPr>
        <w:t xml:space="preserve">, L., </w:t>
      </w:r>
      <w:proofErr w:type="spellStart"/>
      <w:r w:rsidRPr="004D7EBC">
        <w:rPr>
          <w:lang w:val="en-US"/>
        </w:rPr>
        <w:t>Mistrulli</w:t>
      </w:r>
      <w:proofErr w:type="spellEnd"/>
      <w:r w:rsidRPr="004D7EBC">
        <w:rPr>
          <w:lang w:val="en-US"/>
        </w:rPr>
        <w:t xml:space="preserve">, P.E. (2011). Bank heterogeneity  &amp; interest rate setting: what lessons have we learned since Lehman Brothers? Banca </w:t>
      </w:r>
      <w:proofErr w:type="spellStart"/>
      <w:r w:rsidRPr="004D7EBC">
        <w:rPr>
          <w:lang w:val="en-US"/>
        </w:rPr>
        <w:t>d’Italia</w:t>
      </w:r>
      <w:proofErr w:type="spellEnd"/>
      <w:r w:rsidRPr="004D7EBC">
        <w:rPr>
          <w:lang w:val="en-US"/>
        </w:rPr>
        <w:t xml:space="preserve"> Working Paper N. 829.</w:t>
      </w:r>
    </w:p>
    <w:p w:rsidR="008C613C" w:rsidRPr="004D7EBC" w:rsidRDefault="004D7EBC">
      <w:pPr>
        <w:spacing w:before="120" w:after="120"/>
        <w:rPr>
          <w:lang w:val="en-US"/>
        </w:rPr>
      </w:pPr>
      <w:r w:rsidRPr="004D7EBC">
        <w:rPr>
          <w:lang w:val="en-US"/>
        </w:rPr>
        <w:t>Group of Thirty (2009). Financial Reform. A Framework for Financial Stability, Washington D.C.</w:t>
      </w:r>
    </w:p>
    <w:p w:rsidR="008C613C" w:rsidRPr="004D7EBC" w:rsidRDefault="004D7EBC">
      <w:pPr>
        <w:spacing w:before="120" w:after="120"/>
        <w:rPr>
          <w:lang w:val="en-US"/>
        </w:rPr>
      </w:pPr>
      <w:r w:rsidRPr="004D7EBC">
        <w:rPr>
          <w:lang w:val="en-US"/>
        </w:rPr>
        <w:t xml:space="preserve">Hayashi, F. (2000). </w:t>
      </w:r>
      <w:r w:rsidRPr="004D7EBC">
        <w:rPr>
          <w:i/>
          <w:lang w:val="en-US"/>
        </w:rPr>
        <w:t>Econometrics</w:t>
      </w:r>
      <w:r w:rsidRPr="004D7EBC">
        <w:rPr>
          <w:lang w:val="en-US"/>
        </w:rPr>
        <w:t>. Princeton: Princeton University Press.</w:t>
      </w:r>
    </w:p>
    <w:p w:rsidR="008C613C" w:rsidRPr="004D7EBC" w:rsidRDefault="004D7EBC">
      <w:pPr>
        <w:spacing w:before="120" w:after="120"/>
        <w:rPr>
          <w:lang w:val="en-US"/>
        </w:rPr>
      </w:pPr>
      <w:r w:rsidRPr="004D7EBC">
        <w:rPr>
          <w:lang w:val="en-US"/>
        </w:rPr>
        <w:lastRenderedPageBreak/>
        <w:t xml:space="preserve">Huang X., Zhou H, Zhu H. (2011). Systemic Risk Contributions, </w:t>
      </w:r>
      <w:r w:rsidRPr="004D7EBC">
        <w:rPr>
          <w:i/>
          <w:lang w:val="en-US"/>
        </w:rPr>
        <w:t>Journal of Financial Services Research</w:t>
      </w:r>
      <w:r w:rsidRPr="004D7EBC">
        <w:rPr>
          <w:lang w:val="en-US"/>
        </w:rPr>
        <w:t xml:space="preserve">. </w:t>
      </w:r>
      <w:proofErr w:type="spellStart"/>
      <w:r w:rsidRPr="004D7EBC">
        <w:rPr>
          <w:lang w:val="en-US"/>
        </w:rPr>
        <w:t>doi</w:t>
      </w:r>
      <w:proofErr w:type="spellEnd"/>
      <w:r w:rsidRPr="004D7EBC">
        <w:rPr>
          <w:lang w:val="en-US"/>
        </w:rPr>
        <w:t xml:space="preserve"> 10.1007/s10693-011-0117-8.</w:t>
      </w:r>
    </w:p>
    <w:p w:rsidR="008C613C" w:rsidRPr="004D7EBC" w:rsidRDefault="004D7EBC">
      <w:pPr>
        <w:spacing w:before="120" w:after="120"/>
        <w:rPr>
          <w:lang w:val="en-US"/>
        </w:rPr>
      </w:pPr>
      <w:proofErr w:type="spellStart"/>
      <w:r w:rsidRPr="004D7EBC">
        <w:rPr>
          <w:lang w:val="en-US"/>
        </w:rPr>
        <w:t>Howorth</w:t>
      </w:r>
      <w:proofErr w:type="spellEnd"/>
      <w:r w:rsidRPr="004D7EBC">
        <w:rPr>
          <w:lang w:val="en-US"/>
        </w:rPr>
        <w:t xml:space="preserve">, C. &amp; Moro, A. (2006). Trust within entrepreneur bank </w:t>
      </w:r>
      <w:proofErr w:type="spellStart"/>
      <w:r w:rsidRPr="004D7EBC">
        <w:rPr>
          <w:lang w:val="en-US"/>
        </w:rPr>
        <w:t>realationships</w:t>
      </w:r>
      <w:proofErr w:type="spellEnd"/>
      <w:r w:rsidRPr="004D7EBC">
        <w:rPr>
          <w:lang w:val="en-US"/>
        </w:rPr>
        <w:t>: insights from Italy, Entrepreneurship Theory and Practice, 30: 495-517.</w:t>
      </w:r>
    </w:p>
    <w:p w:rsidR="008C613C" w:rsidRPr="004D7EBC" w:rsidRDefault="004D7EBC">
      <w:pPr>
        <w:spacing w:before="120" w:after="120"/>
        <w:rPr>
          <w:lang w:val="en-US"/>
        </w:rPr>
      </w:pPr>
      <w:proofErr w:type="spellStart"/>
      <w:r w:rsidRPr="004D7EBC">
        <w:rPr>
          <w:lang w:val="en-US"/>
        </w:rPr>
        <w:t>Jaffee</w:t>
      </w:r>
      <w:proofErr w:type="spellEnd"/>
      <w:r w:rsidRPr="004D7EBC">
        <w:rPr>
          <w:lang w:val="en-US"/>
        </w:rPr>
        <w:t xml:space="preserve">, D.M.,  &amp; Russell, T. (1976). Imperfect Information, Uncertainty,  and Credit Rationing, </w:t>
      </w:r>
      <w:r w:rsidRPr="004D7EBC">
        <w:rPr>
          <w:i/>
          <w:lang w:val="en-US"/>
        </w:rPr>
        <w:t>The Quarterly Journal of Economics</w:t>
      </w:r>
      <w:r w:rsidRPr="004D7EBC">
        <w:rPr>
          <w:lang w:val="en-US"/>
        </w:rPr>
        <w:t>, 90,  651-66.</w:t>
      </w:r>
    </w:p>
    <w:p w:rsidR="008C613C" w:rsidRPr="004D7EBC" w:rsidRDefault="004D7EBC">
      <w:pPr>
        <w:spacing w:before="120" w:after="120"/>
        <w:rPr>
          <w:lang w:val="en-US"/>
        </w:rPr>
      </w:pPr>
      <w:proofErr w:type="spellStart"/>
      <w:r w:rsidRPr="004D7EBC">
        <w:rPr>
          <w:lang w:val="en-US"/>
        </w:rPr>
        <w:t>Jiangli</w:t>
      </w:r>
      <w:proofErr w:type="spellEnd"/>
      <w:r w:rsidRPr="004D7EBC">
        <w:rPr>
          <w:lang w:val="en-US"/>
        </w:rPr>
        <w:t xml:space="preserve"> W., </w:t>
      </w:r>
      <w:proofErr w:type="spellStart"/>
      <w:r w:rsidRPr="004D7EBC">
        <w:rPr>
          <w:lang w:val="en-US"/>
        </w:rPr>
        <w:t>Unal</w:t>
      </w:r>
      <w:proofErr w:type="spellEnd"/>
      <w:r w:rsidRPr="004D7EBC">
        <w:rPr>
          <w:lang w:val="en-US"/>
        </w:rPr>
        <w:t xml:space="preserve"> H., Yom C. (2008). Relationship Lending, Accounting Disclosure,  &amp; Credit Availability during Crisis". </w:t>
      </w:r>
      <w:r w:rsidRPr="004D7EBC">
        <w:rPr>
          <w:i/>
          <w:lang w:val="en-US"/>
        </w:rPr>
        <w:t>Journal of Money, Credit,  &amp; Banking</w:t>
      </w:r>
      <w:r w:rsidRPr="004D7EBC">
        <w:rPr>
          <w:lang w:val="en-US"/>
        </w:rPr>
        <w:t xml:space="preserve">, 40, 25-55. </w:t>
      </w:r>
    </w:p>
    <w:p w:rsidR="008C613C" w:rsidRPr="004D7EBC" w:rsidRDefault="004D7EBC">
      <w:pPr>
        <w:spacing w:before="120" w:after="120"/>
        <w:rPr>
          <w:lang w:val="en-US"/>
        </w:rPr>
      </w:pPr>
      <w:proofErr w:type="spellStart"/>
      <w:r w:rsidRPr="004D7EBC">
        <w:rPr>
          <w:sz w:val="22"/>
          <w:szCs w:val="22"/>
          <w:lang w:val="en-US"/>
        </w:rPr>
        <w:t>Jimenéz</w:t>
      </w:r>
      <w:proofErr w:type="spellEnd"/>
      <w:r w:rsidRPr="004D7EBC">
        <w:rPr>
          <w:sz w:val="22"/>
          <w:szCs w:val="22"/>
          <w:lang w:val="en-US"/>
        </w:rPr>
        <w:t xml:space="preserve">, Gabriel, Steven </w:t>
      </w:r>
      <w:proofErr w:type="spellStart"/>
      <w:r w:rsidRPr="004D7EBC">
        <w:rPr>
          <w:sz w:val="22"/>
          <w:szCs w:val="22"/>
          <w:lang w:val="en-US"/>
        </w:rPr>
        <w:t>Ogena</w:t>
      </w:r>
      <w:proofErr w:type="spellEnd"/>
      <w:r w:rsidRPr="004D7EBC">
        <w:rPr>
          <w:sz w:val="22"/>
          <w:szCs w:val="22"/>
          <w:lang w:val="en-US"/>
        </w:rPr>
        <w:t xml:space="preserve">, José-Luis </w:t>
      </w:r>
      <w:proofErr w:type="spellStart"/>
      <w:r w:rsidRPr="004D7EBC">
        <w:rPr>
          <w:sz w:val="22"/>
          <w:szCs w:val="22"/>
          <w:lang w:val="en-US"/>
        </w:rPr>
        <w:t>Peydró</w:t>
      </w:r>
      <w:proofErr w:type="spellEnd"/>
      <w:r w:rsidRPr="004D7EBC">
        <w:rPr>
          <w:sz w:val="22"/>
          <w:szCs w:val="22"/>
          <w:lang w:val="en-US"/>
        </w:rPr>
        <w:t xml:space="preserve">, and </w:t>
      </w:r>
      <w:proofErr w:type="spellStart"/>
      <w:r w:rsidRPr="004D7EBC">
        <w:rPr>
          <w:sz w:val="22"/>
          <w:szCs w:val="22"/>
          <w:lang w:val="en-US"/>
        </w:rPr>
        <w:t>Jesús</w:t>
      </w:r>
      <w:proofErr w:type="spellEnd"/>
      <w:r w:rsidRPr="004D7EBC">
        <w:rPr>
          <w:sz w:val="22"/>
          <w:szCs w:val="22"/>
          <w:lang w:val="en-US"/>
        </w:rPr>
        <w:t xml:space="preserve"> </w:t>
      </w:r>
      <w:proofErr w:type="spellStart"/>
      <w:r w:rsidRPr="004D7EBC">
        <w:rPr>
          <w:sz w:val="22"/>
          <w:szCs w:val="22"/>
          <w:lang w:val="en-US"/>
        </w:rPr>
        <w:t>Saurina</w:t>
      </w:r>
      <w:proofErr w:type="spellEnd"/>
      <w:r w:rsidRPr="004D7EBC">
        <w:rPr>
          <w:sz w:val="22"/>
          <w:szCs w:val="22"/>
          <w:lang w:val="en-US"/>
        </w:rPr>
        <w:t>, 2012, Credit Supply versus Demand: Bank and Firm Balance-Sheet Channels in Good and Bad Times, European Banking Center Discussion Paper 2012-003, Tilburg University.</w:t>
      </w:r>
    </w:p>
    <w:p w:rsidR="008C613C" w:rsidRPr="004D7EBC" w:rsidRDefault="004D7EBC">
      <w:pPr>
        <w:spacing w:before="120" w:after="120"/>
        <w:rPr>
          <w:lang w:val="en-US"/>
        </w:rPr>
      </w:pPr>
      <w:r w:rsidRPr="004D7EBC">
        <w:rPr>
          <w:lang w:val="en-US"/>
        </w:rPr>
        <w:t xml:space="preserve">Lehar A. (2005). Measuring systemic risk: A risk management approach, </w:t>
      </w:r>
      <w:r w:rsidRPr="004D7EBC">
        <w:rPr>
          <w:i/>
          <w:lang w:val="en-US"/>
        </w:rPr>
        <w:t>Journal of Banking &amp; Finance</w:t>
      </w:r>
      <w:r w:rsidRPr="004D7EBC">
        <w:rPr>
          <w:lang w:val="en-US"/>
        </w:rPr>
        <w:t>, 29,   2577–2603.</w:t>
      </w:r>
    </w:p>
    <w:p w:rsidR="008C613C" w:rsidRPr="004D7EBC" w:rsidRDefault="004D7EBC">
      <w:pPr>
        <w:spacing w:before="120" w:after="120"/>
        <w:rPr>
          <w:lang w:val="en-US"/>
        </w:rPr>
      </w:pPr>
      <w:r w:rsidRPr="004D7EBC">
        <w:rPr>
          <w:lang w:val="en-US"/>
        </w:rPr>
        <w:t xml:space="preserve">Nakamura L. I. (1993). Commercial bank information: implications on the structure of banking. In </w:t>
      </w:r>
      <w:proofErr w:type="spellStart"/>
      <w:r w:rsidRPr="004D7EBC">
        <w:rPr>
          <w:lang w:val="en-US"/>
        </w:rPr>
        <w:t>Klausner</w:t>
      </w:r>
      <w:proofErr w:type="spellEnd"/>
      <w:r w:rsidRPr="004D7EBC">
        <w:rPr>
          <w:lang w:val="en-US"/>
        </w:rPr>
        <w:t xml:space="preserve">  M. &amp; White L. J. (eds.), </w:t>
      </w:r>
      <w:r w:rsidRPr="004D7EBC">
        <w:rPr>
          <w:i/>
          <w:lang w:val="en-US"/>
        </w:rPr>
        <w:t>Structural Change in Banking</w:t>
      </w:r>
      <w:r w:rsidRPr="004D7EBC">
        <w:rPr>
          <w:lang w:val="en-US"/>
        </w:rPr>
        <w:t>. Homewood: Irwin Publishing.</w:t>
      </w:r>
    </w:p>
    <w:p w:rsidR="008C613C" w:rsidRPr="004D7EBC" w:rsidRDefault="004D7EBC">
      <w:pPr>
        <w:spacing w:before="120" w:after="120"/>
        <w:rPr>
          <w:lang w:val="en-US"/>
        </w:rPr>
      </w:pPr>
      <w:proofErr w:type="spellStart"/>
      <w:r w:rsidRPr="004D7EBC">
        <w:rPr>
          <w:sz w:val="22"/>
          <w:szCs w:val="22"/>
          <w:lang w:val="en-US"/>
        </w:rPr>
        <w:t>Montorial-Garriga</w:t>
      </w:r>
      <w:proofErr w:type="spellEnd"/>
      <w:r w:rsidRPr="004D7EBC">
        <w:rPr>
          <w:sz w:val="22"/>
          <w:szCs w:val="22"/>
          <w:lang w:val="en-US"/>
        </w:rPr>
        <w:t xml:space="preserve">, </w:t>
      </w:r>
      <w:proofErr w:type="spellStart"/>
      <w:r w:rsidRPr="004D7EBC">
        <w:rPr>
          <w:sz w:val="22"/>
          <w:szCs w:val="22"/>
          <w:lang w:val="en-US"/>
        </w:rPr>
        <w:t>Judit</w:t>
      </w:r>
      <w:proofErr w:type="spellEnd"/>
      <w:r w:rsidRPr="004D7EBC">
        <w:rPr>
          <w:sz w:val="22"/>
          <w:szCs w:val="22"/>
          <w:lang w:val="en-US"/>
        </w:rPr>
        <w:t xml:space="preserve">, and Christina Wang, 2012, The Great Recession and Bank Lending to Small Businesses, Federal Reserve Bank of Boston Working Paper 11-16, Federal Reserve Bank of </w:t>
      </w:r>
      <w:proofErr w:type="spellStart"/>
      <w:r w:rsidRPr="004D7EBC">
        <w:rPr>
          <w:sz w:val="22"/>
          <w:szCs w:val="22"/>
          <w:lang w:val="en-US"/>
        </w:rPr>
        <w:t>Bostion</w:t>
      </w:r>
      <w:proofErr w:type="spellEnd"/>
      <w:r w:rsidRPr="004D7EBC">
        <w:rPr>
          <w:sz w:val="22"/>
          <w:szCs w:val="22"/>
          <w:lang w:val="en-US"/>
        </w:rPr>
        <w:t>.</w:t>
      </w:r>
    </w:p>
    <w:p w:rsidR="008C613C" w:rsidRPr="004D7EBC" w:rsidRDefault="004D7EBC">
      <w:pPr>
        <w:spacing w:before="120" w:after="120"/>
        <w:rPr>
          <w:lang w:val="en-US"/>
        </w:rPr>
      </w:pPr>
      <w:r w:rsidRPr="004D7EBC">
        <w:rPr>
          <w:lang w:val="en-US"/>
        </w:rPr>
        <w:t xml:space="preserve">Nickell, S. J. (1981). Biases in dynamic models with fixed effects. </w:t>
      </w:r>
      <w:proofErr w:type="spellStart"/>
      <w:r w:rsidRPr="004D7EBC">
        <w:rPr>
          <w:i/>
          <w:lang w:val="en-US"/>
        </w:rPr>
        <w:t>Econometrica</w:t>
      </w:r>
      <w:proofErr w:type="spellEnd"/>
      <w:r w:rsidRPr="004D7EBC">
        <w:rPr>
          <w:lang w:val="en-US"/>
        </w:rPr>
        <w:t>, 49, 1417–1426.</w:t>
      </w:r>
    </w:p>
    <w:p w:rsidR="008C613C" w:rsidRPr="004D7EBC" w:rsidRDefault="004D7EBC">
      <w:pPr>
        <w:spacing w:before="120" w:after="120"/>
        <w:rPr>
          <w:lang w:val="en-US"/>
        </w:rPr>
      </w:pPr>
      <w:r w:rsidRPr="004D7EBC">
        <w:rPr>
          <w:lang w:val="en-US"/>
        </w:rPr>
        <w:t xml:space="preserve">Pagan, A. R.  &amp; Hall, D. (1983). Diagnostic tests as residual analysis. </w:t>
      </w:r>
      <w:r w:rsidRPr="004D7EBC">
        <w:rPr>
          <w:i/>
          <w:lang w:val="en-US"/>
        </w:rPr>
        <w:t>Econometric Reviews</w:t>
      </w:r>
      <w:r w:rsidRPr="004D7EBC">
        <w:rPr>
          <w:lang w:val="en-US"/>
        </w:rPr>
        <w:t>, 2(2),159–218.</w:t>
      </w:r>
    </w:p>
    <w:p w:rsidR="008C613C" w:rsidRPr="004D7EBC" w:rsidRDefault="004D7EBC">
      <w:pPr>
        <w:spacing w:before="120" w:after="120"/>
        <w:rPr>
          <w:lang w:val="en-US"/>
        </w:rPr>
      </w:pPr>
      <w:r w:rsidRPr="004D7EBC">
        <w:rPr>
          <w:lang w:val="en-US"/>
        </w:rPr>
        <w:t xml:space="preserve">Peek, J.,  &amp; </w:t>
      </w:r>
      <w:proofErr w:type="spellStart"/>
      <w:r w:rsidRPr="004D7EBC">
        <w:rPr>
          <w:lang w:val="en-US"/>
        </w:rPr>
        <w:t>Rosengren</w:t>
      </w:r>
      <w:proofErr w:type="spellEnd"/>
      <w:r w:rsidRPr="004D7EBC">
        <w:rPr>
          <w:lang w:val="en-US"/>
        </w:rPr>
        <w:t xml:space="preserve">, E.S. (1995). Bank Lending  and the Transmission of Monetary Policy, in Peek, J.  &amp; </w:t>
      </w:r>
      <w:proofErr w:type="spellStart"/>
      <w:r w:rsidRPr="004D7EBC">
        <w:rPr>
          <w:lang w:val="en-US"/>
        </w:rPr>
        <w:t>Rosengren</w:t>
      </w:r>
      <w:proofErr w:type="spellEnd"/>
      <w:r w:rsidRPr="004D7EBC">
        <w:rPr>
          <w:lang w:val="en-US"/>
        </w:rPr>
        <w:t xml:space="preserve">, E.S. (eds.) </w:t>
      </w:r>
      <w:r w:rsidRPr="004D7EBC">
        <w:rPr>
          <w:i/>
          <w:lang w:val="en-US"/>
        </w:rPr>
        <w:t>Is Bank Lending Important for the Transmission of Monetary Policy?</w:t>
      </w:r>
      <w:r w:rsidRPr="004D7EBC">
        <w:rPr>
          <w:lang w:val="en-US"/>
        </w:rPr>
        <w:t xml:space="preserve"> Federal Reserve Bank of Boston Conference Series 39, 47-68.</w:t>
      </w:r>
    </w:p>
    <w:p w:rsidR="008C613C" w:rsidRPr="004D7EBC" w:rsidRDefault="004D7EBC">
      <w:pPr>
        <w:spacing w:before="120" w:after="120"/>
        <w:rPr>
          <w:lang w:val="en-US"/>
        </w:rPr>
      </w:pPr>
      <w:r w:rsidRPr="004D7EBC">
        <w:rPr>
          <w:lang w:val="en-US"/>
        </w:rPr>
        <w:t xml:space="preserve">Petersen, M.A., &amp; </w:t>
      </w:r>
      <w:proofErr w:type="spellStart"/>
      <w:r w:rsidRPr="004D7EBC">
        <w:rPr>
          <w:lang w:val="en-US"/>
        </w:rPr>
        <w:t>Rajan</w:t>
      </w:r>
      <w:proofErr w:type="spellEnd"/>
      <w:r w:rsidRPr="004D7EBC">
        <w:rPr>
          <w:lang w:val="en-US"/>
        </w:rPr>
        <w:t xml:space="preserve">, R.E. (1994) The benefits of lending relationships: evidence from small business data , </w:t>
      </w:r>
      <w:r w:rsidRPr="004D7EBC">
        <w:rPr>
          <w:i/>
          <w:lang w:val="en-US"/>
        </w:rPr>
        <w:t>Journal of Finance</w:t>
      </w:r>
      <w:r w:rsidRPr="004D7EBC">
        <w:rPr>
          <w:lang w:val="en-US"/>
        </w:rPr>
        <w:t>, 49,  3-37.</w:t>
      </w:r>
    </w:p>
    <w:p w:rsidR="008C613C" w:rsidRDefault="004D7EBC">
      <w:pPr>
        <w:spacing w:before="120" w:after="120"/>
      </w:pPr>
      <w:proofErr w:type="spellStart"/>
      <w:r>
        <w:lastRenderedPageBreak/>
        <w:t>Pittaluga</w:t>
      </w:r>
      <w:proofErr w:type="spellEnd"/>
      <w:r>
        <w:t xml:space="preserve"> G.B., Morelli P., Seghezza E. (2004), Fondamenti teorici della Corporate </w:t>
      </w:r>
      <w:proofErr w:type="spellStart"/>
      <w:r>
        <w:t>governance</w:t>
      </w:r>
      <w:proofErr w:type="spellEnd"/>
      <w:r>
        <w:t xml:space="preserve"> e comportamento delle banche popolari in De </w:t>
      </w:r>
      <w:proofErr w:type="spellStart"/>
      <w:r>
        <w:t>Bruyn</w:t>
      </w:r>
      <w:proofErr w:type="spellEnd"/>
      <w:r>
        <w:t>, R. &amp; Ferri, G. (</w:t>
      </w:r>
      <w:proofErr w:type="spellStart"/>
      <w:r>
        <w:t>Eds</w:t>
      </w:r>
      <w:proofErr w:type="spellEnd"/>
      <w:r>
        <w:t xml:space="preserve">.) Le Banche Popolari nel localismo dell’economia italiana, </w:t>
      </w:r>
      <w:r w:rsidRPr="00CE10F8">
        <w:rPr>
          <w:i/>
        </w:rPr>
        <w:t>Quaderni, Rivista Credito Popolare</w:t>
      </w:r>
      <w:r>
        <w:t>, 3/4, 53-123.</w:t>
      </w:r>
    </w:p>
    <w:p w:rsidR="008C613C" w:rsidRPr="004D7EBC" w:rsidRDefault="004D7EBC">
      <w:pPr>
        <w:spacing w:before="120" w:after="120"/>
        <w:rPr>
          <w:lang w:val="en-US"/>
        </w:rPr>
      </w:pPr>
      <w:proofErr w:type="spellStart"/>
      <w:r w:rsidRPr="004D7EBC">
        <w:rPr>
          <w:lang w:val="en-US"/>
        </w:rPr>
        <w:t>Presbitero</w:t>
      </w:r>
      <w:proofErr w:type="spellEnd"/>
      <w:r w:rsidRPr="004D7EBC">
        <w:rPr>
          <w:lang w:val="en-US"/>
        </w:rPr>
        <w:t xml:space="preserve"> A.F., </w:t>
      </w:r>
      <w:proofErr w:type="spellStart"/>
      <w:r w:rsidRPr="004D7EBC">
        <w:rPr>
          <w:lang w:val="en-US"/>
        </w:rPr>
        <w:t>Udell</w:t>
      </w:r>
      <w:proofErr w:type="spellEnd"/>
      <w:r w:rsidRPr="004D7EBC">
        <w:rPr>
          <w:lang w:val="en-US"/>
        </w:rPr>
        <w:t xml:space="preserve"> G.F., </w:t>
      </w:r>
      <w:proofErr w:type="spellStart"/>
      <w:r w:rsidRPr="004D7EBC">
        <w:rPr>
          <w:lang w:val="en-US"/>
        </w:rPr>
        <w:t>Zazzaro</w:t>
      </w:r>
      <w:proofErr w:type="spellEnd"/>
      <w:r w:rsidRPr="004D7EBC">
        <w:rPr>
          <w:lang w:val="en-US"/>
        </w:rPr>
        <w:t xml:space="preserve"> A. (2014), The home bias  &amp; the credit crunch: a regional perspective, </w:t>
      </w:r>
      <w:r w:rsidRPr="004D7EBC">
        <w:rPr>
          <w:i/>
          <w:lang w:val="en-US"/>
        </w:rPr>
        <w:t>Journal of Money Credit and Banking</w:t>
      </w:r>
      <w:r w:rsidRPr="004D7EBC">
        <w:rPr>
          <w:lang w:val="en-US"/>
        </w:rPr>
        <w:t>, Supplement to Vol. 46, 53-85.</w:t>
      </w:r>
    </w:p>
    <w:p w:rsidR="008C613C" w:rsidRPr="004D7EBC" w:rsidRDefault="004D7EBC">
      <w:pPr>
        <w:spacing w:before="120" w:after="120"/>
        <w:rPr>
          <w:lang w:val="en-US"/>
        </w:rPr>
      </w:pPr>
      <w:proofErr w:type="spellStart"/>
      <w:r w:rsidRPr="004D7EBC">
        <w:rPr>
          <w:lang w:val="en-US"/>
        </w:rPr>
        <w:t>Rajan</w:t>
      </w:r>
      <w:proofErr w:type="spellEnd"/>
      <w:r w:rsidRPr="004D7EBC">
        <w:rPr>
          <w:lang w:val="en-US"/>
        </w:rPr>
        <w:t xml:space="preserve"> R.G. &amp; </w:t>
      </w:r>
      <w:proofErr w:type="spellStart"/>
      <w:r w:rsidRPr="004D7EBC">
        <w:rPr>
          <w:lang w:val="en-US"/>
        </w:rPr>
        <w:t>Zingales</w:t>
      </w:r>
      <w:proofErr w:type="spellEnd"/>
      <w:r w:rsidRPr="004D7EBC">
        <w:rPr>
          <w:lang w:val="en-US"/>
        </w:rPr>
        <w:t xml:space="preserve"> L. (2001) Financial systems, industrial structure,  and growth, </w:t>
      </w:r>
      <w:r w:rsidRPr="004D7EBC">
        <w:rPr>
          <w:i/>
          <w:lang w:val="en-US"/>
        </w:rPr>
        <w:t>Oxford Review of Economic Policy</w:t>
      </w:r>
      <w:r w:rsidRPr="004D7EBC">
        <w:rPr>
          <w:lang w:val="en-US"/>
        </w:rPr>
        <w:t>, 17,   467-482.</w:t>
      </w:r>
    </w:p>
    <w:p w:rsidR="008C613C" w:rsidRPr="004D7EBC" w:rsidRDefault="004D7EBC">
      <w:pPr>
        <w:spacing w:before="120" w:after="120"/>
        <w:rPr>
          <w:lang w:val="en-US"/>
        </w:rPr>
      </w:pPr>
      <w:proofErr w:type="spellStart"/>
      <w:r w:rsidRPr="004D7EBC">
        <w:rPr>
          <w:lang w:val="en-US"/>
        </w:rPr>
        <w:t>Roodman</w:t>
      </w:r>
      <w:proofErr w:type="spellEnd"/>
      <w:r w:rsidRPr="004D7EBC">
        <w:rPr>
          <w:lang w:val="en-US"/>
        </w:rPr>
        <w:t xml:space="preserve">, D. M. (2009a). How to do xtabond2: An introduction to difference and system GMM in Stata, </w:t>
      </w:r>
      <w:r w:rsidRPr="004D7EBC">
        <w:rPr>
          <w:i/>
          <w:lang w:val="en-US"/>
        </w:rPr>
        <w:t>The Stata Journal</w:t>
      </w:r>
      <w:r w:rsidRPr="004D7EBC">
        <w:rPr>
          <w:lang w:val="en-US"/>
        </w:rPr>
        <w:t>, 9, 1,   86–136.</w:t>
      </w:r>
    </w:p>
    <w:p w:rsidR="008C613C" w:rsidRPr="004D7EBC" w:rsidRDefault="004D7EBC">
      <w:pPr>
        <w:spacing w:before="120" w:after="120"/>
        <w:rPr>
          <w:lang w:val="en-US"/>
        </w:rPr>
      </w:pPr>
      <w:proofErr w:type="spellStart"/>
      <w:r w:rsidRPr="004D7EBC">
        <w:rPr>
          <w:lang w:val="en-US"/>
        </w:rPr>
        <w:t>Roodman</w:t>
      </w:r>
      <w:proofErr w:type="spellEnd"/>
      <w:r w:rsidRPr="004D7EBC">
        <w:rPr>
          <w:lang w:val="en-US"/>
        </w:rPr>
        <w:t xml:space="preserve">, D. M. (2009b). A note on the theme of too many instruments. </w:t>
      </w:r>
      <w:r w:rsidRPr="004D7EBC">
        <w:rPr>
          <w:i/>
          <w:lang w:val="en-US"/>
        </w:rPr>
        <w:t>Oxford Bulletin of Economics  &amp; Statistics</w:t>
      </w:r>
      <w:r w:rsidRPr="004D7EBC">
        <w:rPr>
          <w:lang w:val="en-US"/>
        </w:rPr>
        <w:t>, 71, 135–158.</w:t>
      </w:r>
    </w:p>
    <w:p w:rsidR="008C613C" w:rsidRPr="004D7EBC" w:rsidRDefault="004D7EBC">
      <w:pPr>
        <w:spacing w:before="120" w:after="120"/>
        <w:rPr>
          <w:lang w:val="en-US"/>
        </w:rPr>
      </w:pPr>
      <w:r w:rsidRPr="004D7EBC">
        <w:rPr>
          <w:lang w:val="en-US"/>
        </w:rPr>
        <w:t xml:space="preserve">Shimizu K. (2012). Bankruptcies of small firms  &amp; lending relationship. </w:t>
      </w:r>
      <w:r w:rsidRPr="004D7EBC">
        <w:rPr>
          <w:i/>
          <w:lang w:val="en-US"/>
        </w:rPr>
        <w:t>Journal of Banking  &amp; Finance</w:t>
      </w:r>
      <w:r w:rsidRPr="004D7EBC">
        <w:rPr>
          <w:lang w:val="en-US"/>
        </w:rPr>
        <w:t>,  36, 3, 857–870.</w:t>
      </w:r>
    </w:p>
    <w:p w:rsidR="008C613C" w:rsidRPr="004D7EBC" w:rsidRDefault="004D7EBC">
      <w:pPr>
        <w:spacing w:before="120" w:after="120"/>
        <w:rPr>
          <w:lang w:val="en-US"/>
        </w:rPr>
      </w:pPr>
      <w:r w:rsidRPr="004D7EBC">
        <w:rPr>
          <w:lang w:val="en-US"/>
        </w:rPr>
        <w:t xml:space="preserve">Stein J.C. (2002) Information Production  &amp; Capital Allocation: Decentralized versus Hierarchical Firms, </w:t>
      </w:r>
      <w:r w:rsidRPr="004D7EBC">
        <w:rPr>
          <w:i/>
          <w:lang w:val="en-US"/>
        </w:rPr>
        <w:t>Journal of Finance</w:t>
      </w:r>
      <w:r w:rsidRPr="004D7EBC">
        <w:rPr>
          <w:lang w:val="en-US"/>
        </w:rPr>
        <w:t>, 57, n. 4,   1891-1922.</w:t>
      </w:r>
    </w:p>
    <w:p w:rsidR="008C613C" w:rsidRPr="004D7EBC" w:rsidRDefault="004D7EBC">
      <w:pPr>
        <w:spacing w:before="120" w:after="120"/>
        <w:rPr>
          <w:lang w:val="en-US"/>
        </w:rPr>
      </w:pPr>
      <w:r w:rsidRPr="004D7EBC">
        <w:rPr>
          <w:lang w:val="en-US"/>
        </w:rPr>
        <w:t xml:space="preserve">Strahan P.E.  &amp; Weston J.P. (1998) Small business lending  &amp; the changing structure of the banking industry, </w:t>
      </w:r>
      <w:r w:rsidRPr="004D7EBC">
        <w:rPr>
          <w:i/>
          <w:lang w:val="en-US"/>
        </w:rPr>
        <w:t>Journal of banking  &amp; finance</w:t>
      </w:r>
      <w:r w:rsidRPr="004D7EBC">
        <w:rPr>
          <w:lang w:val="en-US"/>
        </w:rPr>
        <w:t xml:space="preserve">, vol. 22, n. 3,   821-845. </w:t>
      </w:r>
    </w:p>
    <w:p w:rsidR="008C613C" w:rsidRPr="004D7EBC" w:rsidRDefault="004D7EBC">
      <w:pPr>
        <w:spacing w:before="120" w:after="120"/>
        <w:rPr>
          <w:lang w:val="en-US"/>
        </w:rPr>
      </w:pPr>
      <w:r w:rsidRPr="004D7EBC">
        <w:rPr>
          <w:lang w:val="en-US"/>
        </w:rPr>
        <w:t xml:space="preserve">Stiglitz J.E.  &amp; Weiss A. (1981). Credit rationing in markets with imperfect information. </w:t>
      </w:r>
      <w:r w:rsidRPr="004D7EBC">
        <w:rPr>
          <w:i/>
          <w:lang w:val="en-US"/>
        </w:rPr>
        <w:t>American Economic Review</w:t>
      </w:r>
      <w:r w:rsidRPr="004D7EBC">
        <w:rPr>
          <w:lang w:val="en-US"/>
        </w:rPr>
        <w:t>, 71, 3,   393-410.</w:t>
      </w:r>
    </w:p>
    <w:p w:rsidR="008C613C" w:rsidRPr="004D7EBC" w:rsidRDefault="004D7EBC">
      <w:pPr>
        <w:spacing w:before="120" w:after="120"/>
        <w:rPr>
          <w:lang w:val="en-US"/>
        </w:rPr>
      </w:pPr>
      <w:r w:rsidRPr="004D7EBC">
        <w:rPr>
          <w:lang w:val="en-US"/>
        </w:rPr>
        <w:t xml:space="preserve">Sullivan R. J. &amp; </w:t>
      </w:r>
      <w:proofErr w:type="spellStart"/>
      <w:r w:rsidRPr="004D7EBC">
        <w:rPr>
          <w:lang w:val="en-US"/>
        </w:rPr>
        <w:t>Spong</w:t>
      </w:r>
      <w:proofErr w:type="spellEnd"/>
      <w:r w:rsidRPr="004D7EBC">
        <w:rPr>
          <w:lang w:val="en-US"/>
        </w:rPr>
        <w:t xml:space="preserve"> K. R., Manager wealth concentration, ownership structure,  &amp; risk in commercial banks, </w:t>
      </w:r>
      <w:r w:rsidRPr="004D7EBC">
        <w:rPr>
          <w:i/>
          <w:lang w:val="en-US"/>
        </w:rPr>
        <w:t>Journal of Financial Intermediation</w:t>
      </w:r>
      <w:r w:rsidRPr="004D7EBC">
        <w:rPr>
          <w:lang w:val="en-US"/>
        </w:rPr>
        <w:t>, 16, 229–248</w:t>
      </w:r>
    </w:p>
    <w:p w:rsidR="008C613C" w:rsidRPr="004D7EBC" w:rsidRDefault="004D7EBC">
      <w:pPr>
        <w:spacing w:before="120" w:after="120"/>
        <w:rPr>
          <w:lang w:val="en-US"/>
        </w:rPr>
      </w:pPr>
      <w:proofErr w:type="spellStart"/>
      <w:r w:rsidRPr="004D7EBC">
        <w:rPr>
          <w:lang w:val="en-US"/>
        </w:rPr>
        <w:t>Vacca</w:t>
      </w:r>
      <w:proofErr w:type="spellEnd"/>
      <w:r w:rsidRPr="004D7EBC">
        <w:rPr>
          <w:lang w:val="en-US"/>
        </w:rPr>
        <w:t xml:space="preserve"> V. (2011). An unexpected crisis? Looking at pricing effectiveness of different banks, Banca </w:t>
      </w:r>
      <w:proofErr w:type="spellStart"/>
      <w:r w:rsidRPr="004D7EBC">
        <w:rPr>
          <w:lang w:val="en-US"/>
        </w:rPr>
        <w:t>d’Italia</w:t>
      </w:r>
      <w:proofErr w:type="spellEnd"/>
      <w:r w:rsidRPr="004D7EBC">
        <w:rPr>
          <w:lang w:val="en-US"/>
        </w:rPr>
        <w:t xml:space="preserve"> Working Papers n.814.</w:t>
      </w:r>
    </w:p>
    <w:p w:rsidR="008C613C" w:rsidRPr="004D7EBC" w:rsidRDefault="004D7EBC">
      <w:pPr>
        <w:spacing w:before="120" w:after="120"/>
        <w:rPr>
          <w:lang w:val="en-US"/>
        </w:rPr>
      </w:pPr>
      <w:r w:rsidRPr="004D7EBC">
        <w:rPr>
          <w:lang w:val="en-US"/>
        </w:rPr>
        <w:t>Woo Nam S. (2004) Relationship banking  and its role in corporate governance, ADB Institute Research Paper Series No. 56</w:t>
      </w:r>
    </w:p>
    <w:p w:rsidR="008C613C" w:rsidRPr="004D7EBC" w:rsidRDefault="008C613C">
      <w:pPr>
        <w:rPr>
          <w:lang w:val="en-US"/>
        </w:rPr>
      </w:pPr>
    </w:p>
    <w:sectPr w:rsidR="008C613C" w:rsidRPr="004D7EBC">
      <w:footerReference w:type="default" r:id="rId11"/>
      <w:pgSz w:w="11906" w:h="16838"/>
      <w:pgMar w:top="1418" w:right="1134" w:bottom="1134" w:left="1134"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25FF" w:rsidRDefault="004D7EBC">
      <w:pPr>
        <w:spacing w:line="240" w:lineRule="auto"/>
      </w:pPr>
      <w:r>
        <w:separator/>
      </w:r>
    </w:p>
  </w:endnote>
  <w:endnote w:type="continuationSeparator" w:id="0">
    <w:p w:rsidR="009925FF" w:rsidRDefault="004D7E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613C" w:rsidRDefault="004D7EBC">
    <w:pPr>
      <w:tabs>
        <w:tab w:val="center" w:pos="4819"/>
        <w:tab w:val="right" w:pos="9638"/>
      </w:tabs>
      <w:spacing w:after="720"/>
      <w:jc w:val="center"/>
    </w:pPr>
    <w:r>
      <w:fldChar w:fldCharType="begin"/>
    </w:r>
    <w:r>
      <w:instrText>PAGE</w:instrText>
    </w:r>
    <w:r>
      <w:fldChar w:fldCharType="separate"/>
    </w:r>
    <w:r w:rsidR="00CE10F8">
      <w:rPr>
        <w:noProof/>
      </w:rPr>
      <w:t>28</w:t>
    </w:r>
    <w:r>
      <w:fldChar w:fldCharType="end"/>
    </w:r>
  </w:p>
  <w:p w:rsidR="008C613C" w:rsidRDefault="008C613C">
    <w:pPr>
      <w:tabs>
        <w:tab w:val="center" w:pos="4819"/>
        <w:tab w:val="right" w:pos="9638"/>
      </w:tabs>
      <w:spacing w:after="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25FF" w:rsidRDefault="004D7EBC">
      <w:pPr>
        <w:spacing w:line="240" w:lineRule="auto"/>
      </w:pPr>
      <w:r>
        <w:separator/>
      </w:r>
    </w:p>
  </w:footnote>
  <w:footnote w:type="continuationSeparator" w:id="0">
    <w:p w:rsidR="009925FF" w:rsidRDefault="004D7EBC">
      <w:pPr>
        <w:spacing w:line="240" w:lineRule="auto"/>
      </w:pPr>
      <w:r>
        <w:continuationSeparator/>
      </w:r>
    </w:p>
  </w:footnote>
  <w:footnote w:id="1">
    <w:p w:rsidR="008C613C" w:rsidRPr="004D7EBC" w:rsidRDefault="004D7EBC">
      <w:pPr>
        <w:spacing w:line="240" w:lineRule="auto"/>
        <w:rPr>
          <w:lang w:val="en-US"/>
        </w:rPr>
      </w:pPr>
      <w:r>
        <w:rPr>
          <w:vertAlign w:val="superscript"/>
        </w:rPr>
        <w:footnoteRef/>
      </w:r>
      <w:r w:rsidRPr="004D7EBC">
        <w:rPr>
          <w:sz w:val="20"/>
          <w:szCs w:val="20"/>
          <w:lang w:val="en-US"/>
        </w:rPr>
        <w:t xml:space="preserve"> For instance “community banks” are defined as those institutions that are small and operate locally in a single market in tight relationships with the local community (Berger et al., 2013). </w:t>
      </w:r>
    </w:p>
  </w:footnote>
  <w:footnote w:id="2">
    <w:p w:rsidR="008C613C" w:rsidRPr="004D7EBC" w:rsidRDefault="004D7EBC">
      <w:pPr>
        <w:spacing w:line="240" w:lineRule="auto"/>
        <w:rPr>
          <w:lang w:val="en-US"/>
        </w:rPr>
      </w:pPr>
      <w:r>
        <w:rPr>
          <w:vertAlign w:val="superscript"/>
        </w:rPr>
        <w:footnoteRef/>
      </w:r>
      <w:r w:rsidRPr="004D7EBC">
        <w:rPr>
          <w:sz w:val="20"/>
          <w:szCs w:val="20"/>
          <w:lang w:val="en-US"/>
        </w:rPr>
        <w:t>The failure of a financial organization may cause other financial organizations (or networks of organizations) to fail, cascading throughout the system. The s.c. “domino effect” is also mentioned in this respect.</w:t>
      </w:r>
    </w:p>
  </w:footnote>
  <w:footnote w:id="3">
    <w:p w:rsidR="008C613C" w:rsidRPr="004D7EBC" w:rsidRDefault="004D7EBC">
      <w:pPr>
        <w:spacing w:line="240" w:lineRule="auto"/>
        <w:rPr>
          <w:lang w:val="en-US"/>
        </w:rPr>
      </w:pPr>
      <w:r>
        <w:rPr>
          <w:vertAlign w:val="superscript"/>
        </w:rPr>
        <w:footnoteRef/>
      </w:r>
      <w:r w:rsidRPr="004D7EBC">
        <w:rPr>
          <w:sz w:val="20"/>
          <w:szCs w:val="20"/>
          <w:lang w:val="en-US"/>
        </w:rPr>
        <w:t xml:space="preserve"> The authors measure the systemic importance of each bank as its marginal contribution to the hypothetical distress insurance premium of the whole banking system, finding that in the United States size has been the dominant factor in determining each bank’s systemic risk contribution between 2007 and 2009.</w:t>
      </w:r>
    </w:p>
  </w:footnote>
  <w:footnote w:id="4">
    <w:p w:rsidR="008C613C" w:rsidRPr="004D7EBC" w:rsidRDefault="004D7EBC">
      <w:pPr>
        <w:spacing w:line="240" w:lineRule="auto"/>
        <w:rPr>
          <w:lang w:val="en-US"/>
        </w:rPr>
      </w:pPr>
      <w:r>
        <w:rPr>
          <w:vertAlign w:val="superscript"/>
        </w:rPr>
        <w:footnoteRef/>
      </w:r>
      <w:r w:rsidRPr="004D7EBC">
        <w:rPr>
          <w:sz w:val="20"/>
          <w:szCs w:val="20"/>
          <w:lang w:val="en-US"/>
        </w:rPr>
        <w:t xml:space="preserve"> Overall, from June 2009  to December 2011 total outstanding bank loans to Italian firms raised from €860 blns to €910 blns. During 2011, however, credit supply has been again rationed by all categories of financial intermediaries.</w:t>
      </w:r>
    </w:p>
  </w:footnote>
  <w:footnote w:id="5">
    <w:p w:rsidR="008C613C" w:rsidRPr="004D7EBC" w:rsidRDefault="004D7EBC">
      <w:pPr>
        <w:spacing w:line="240" w:lineRule="auto"/>
        <w:rPr>
          <w:lang w:val="en-US"/>
        </w:rPr>
      </w:pPr>
      <w:r>
        <w:rPr>
          <w:vertAlign w:val="superscript"/>
        </w:rPr>
        <w:footnoteRef/>
      </w:r>
      <w:r w:rsidRPr="004D7EBC">
        <w:rPr>
          <w:sz w:val="20"/>
          <w:szCs w:val="20"/>
          <w:lang w:val="en-US"/>
        </w:rPr>
        <w:t xml:space="preserve"> Barboni and Rossi (2012) define local banks according to their ”multi-market” dimension and credit concentration across local labour market areas. They build an index that measures credit concentration at bank level and isolate those banks that are characterized by a high degree of territorial specialization, qualifying them as local. </w:t>
      </w:r>
    </w:p>
  </w:footnote>
  <w:footnote w:id="6">
    <w:p w:rsidR="008C613C" w:rsidRPr="004D7EBC" w:rsidRDefault="004D7EBC">
      <w:pPr>
        <w:spacing w:line="240" w:lineRule="auto"/>
        <w:rPr>
          <w:lang w:val="en-US"/>
        </w:rPr>
      </w:pPr>
      <w:r>
        <w:rPr>
          <w:vertAlign w:val="superscript"/>
        </w:rPr>
        <w:footnoteRef/>
      </w:r>
      <w:r w:rsidRPr="004D7EBC">
        <w:rPr>
          <w:sz w:val="20"/>
          <w:szCs w:val="20"/>
          <w:lang w:val="en-US"/>
        </w:rPr>
        <w:t xml:space="preserve"> We use the share of impaired assets instead of non-performing loans to total loans due to data availability while we use non-performing loans to reserves instead of non-performing loans to assets in order to reduce collinearity problems in the empirical analysis. </w:t>
      </w:r>
    </w:p>
  </w:footnote>
  <w:footnote w:id="7">
    <w:p w:rsidR="008C613C" w:rsidRPr="004D7EBC" w:rsidRDefault="004D7EBC">
      <w:pPr>
        <w:spacing w:line="240" w:lineRule="auto"/>
        <w:rPr>
          <w:lang w:val="en-US"/>
        </w:rPr>
      </w:pPr>
      <w:r>
        <w:rPr>
          <w:vertAlign w:val="superscript"/>
        </w:rPr>
        <w:footnoteRef/>
      </w:r>
      <w:r w:rsidRPr="004D7EBC">
        <w:rPr>
          <w:sz w:val="20"/>
          <w:szCs w:val="20"/>
          <w:lang w:val="en-US"/>
        </w:rPr>
        <w:t xml:space="preserve"> Results are available upon request.</w:t>
      </w:r>
    </w:p>
  </w:footnote>
  <w:footnote w:id="8">
    <w:p w:rsidR="008C613C" w:rsidRPr="004D7EBC" w:rsidRDefault="004D7EBC">
      <w:pPr>
        <w:spacing w:line="240" w:lineRule="auto"/>
        <w:rPr>
          <w:lang w:val="en-US"/>
        </w:rPr>
      </w:pPr>
      <w:r>
        <w:rPr>
          <w:vertAlign w:val="superscript"/>
        </w:rPr>
        <w:footnoteRef/>
      </w:r>
      <w:r>
        <w:rPr>
          <w:sz w:val="20"/>
          <w:szCs w:val="20"/>
        </w:rPr>
        <w:t xml:space="preserve"> The </w:t>
      </w:r>
      <w:proofErr w:type="spellStart"/>
      <w:r>
        <w:rPr>
          <w:sz w:val="20"/>
          <w:szCs w:val="20"/>
        </w:rPr>
        <w:t>three</w:t>
      </w:r>
      <w:proofErr w:type="spellEnd"/>
      <w:r>
        <w:rPr>
          <w:sz w:val="20"/>
          <w:szCs w:val="20"/>
        </w:rPr>
        <w:t xml:space="preserve"> </w:t>
      </w:r>
      <w:proofErr w:type="spellStart"/>
      <w:r>
        <w:rPr>
          <w:sz w:val="20"/>
          <w:szCs w:val="20"/>
        </w:rPr>
        <w:t>banks</w:t>
      </w:r>
      <w:proofErr w:type="spellEnd"/>
      <w:r>
        <w:rPr>
          <w:sz w:val="20"/>
          <w:szCs w:val="20"/>
        </w:rPr>
        <w:t xml:space="preserve"> are Banca Popolare dell’Etruria e del Lazio, Cassa di Risparmio di Ferrara, Cassa di Risparmio di Chieti. Banca Popolare dell’Etruria e del Lazio </w:t>
      </w:r>
      <w:proofErr w:type="spellStart"/>
      <w:r>
        <w:rPr>
          <w:sz w:val="20"/>
          <w:szCs w:val="20"/>
        </w:rPr>
        <w:t>was</w:t>
      </w:r>
      <w:proofErr w:type="spellEnd"/>
      <w:r>
        <w:rPr>
          <w:sz w:val="20"/>
          <w:szCs w:val="20"/>
        </w:rPr>
        <w:t xml:space="preserve"> a </w:t>
      </w:r>
      <w:proofErr w:type="spellStart"/>
      <w:r>
        <w:rPr>
          <w:sz w:val="20"/>
          <w:szCs w:val="20"/>
        </w:rPr>
        <w:t>mutual</w:t>
      </w:r>
      <w:proofErr w:type="spellEnd"/>
      <w:r>
        <w:rPr>
          <w:sz w:val="20"/>
          <w:szCs w:val="20"/>
        </w:rPr>
        <w:t xml:space="preserve"> </w:t>
      </w:r>
      <w:proofErr w:type="spellStart"/>
      <w:r>
        <w:rPr>
          <w:sz w:val="20"/>
          <w:szCs w:val="20"/>
        </w:rPr>
        <w:t>urban</w:t>
      </w:r>
      <w:proofErr w:type="spellEnd"/>
      <w:r>
        <w:rPr>
          <w:sz w:val="20"/>
          <w:szCs w:val="20"/>
        </w:rPr>
        <w:t xml:space="preserve">  </w:t>
      </w:r>
      <w:proofErr w:type="spellStart"/>
      <w:r>
        <w:rPr>
          <w:sz w:val="20"/>
          <w:szCs w:val="20"/>
        </w:rPr>
        <w:t>bank</w:t>
      </w:r>
      <w:proofErr w:type="spellEnd"/>
      <w:r>
        <w:rPr>
          <w:sz w:val="20"/>
          <w:szCs w:val="20"/>
        </w:rPr>
        <w:t xml:space="preserve">, </w:t>
      </w:r>
      <w:proofErr w:type="spellStart"/>
      <w:r>
        <w:rPr>
          <w:sz w:val="20"/>
          <w:szCs w:val="20"/>
        </w:rPr>
        <w:t>while</w:t>
      </w:r>
      <w:proofErr w:type="spellEnd"/>
      <w:r>
        <w:rPr>
          <w:sz w:val="20"/>
          <w:szCs w:val="20"/>
        </w:rPr>
        <w:t xml:space="preserve"> Cassa di Risparmio di Ferrara and Cassa di Risparmio di Chieti </w:t>
      </w:r>
      <w:proofErr w:type="spellStart"/>
      <w:r>
        <w:rPr>
          <w:sz w:val="20"/>
          <w:szCs w:val="20"/>
        </w:rPr>
        <w:t>were</w:t>
      </w:r>
      <w:proofErr w:type="spellEnd"/>
      <w:r>
        <w:rPr>
          <w:sz w:val="20"/>
          <w:szCs w:val="20"/>
        </w:rPr>
        <w:t xml:space="preserve"> </w:t>
      </w:r>
      <w:proofErr w:type="spellStart"/>
      <w:r>
        <w:rPr>
          <w:sz w:val="20"/>
          <w:szCs w:val="20"/>
        </w:rPr>
        <w:t>independent</w:t>
      </w:r>
      <w:proofErr w:type="spellEnd"/>
      <w:r>
        <w:rPr>
          <w:sz w:val="20"/>
          <w:szCs w:val="20"/>
        </w:rPr>
        <w:t xml:space="preserve"> </w:t>
      </w:r>
      <w:proofErr w:type="spellStart"/>
      <w:r>
        <w:rPr>
          <w:sz w:val="20"/>
          <w:szCs w:val="20"/>
        </w:rPr>
        <w:t>savings</w:t>
      </w:r>
      <w:proofErr w:type="spellEnd"/>
      <w:r>
        <w:rPr>
          <w:sz w:val="20"/>
          <w:szCs w:val="20"/>
        </w:rPr>
        <w:t xml:space="preserve"> </w:t>
      </w:r>
      <w:proofErr w:type="spellStart"/>
      <w:r>
        <w:rPr>
          <w:sz w:val="20"/>
          <w:szCs w:val="20"/>
        </w:rPr>
        <w:t>banks</w:t>
      </w:r>
      <w:proofErr w:type="spellEnd"/>
      <w:r>
        <w:rPr>
          <w:sz w:val="20"/>
          <w:szCs w:val="20"/>
        </w:rPr>
        <w:t xml:space="preserve">. </w:t>
      </w:r>
      <w:r w:rsidRPr="004D7EBC">
        <w:rPr>
          <w:sz w:val="20"/>
          <w:szCs w:val="20"/>
          <w:lang w:val="en-US"/>
        </w:rPr>
        <w:t xml:space="preserve">There is also a fourth bank involved in the rescue operation, Banca Marche, which is considered as a nationwide bank according to the taxonomy adopted in this paper. </w:t>
      </w:r>
    </w:p>
  </w:footnote>
  <w:footnote w:id="9">
    <w:p w:rsidR="008C613C" w:rsidRPr="004D7EBC" w:rsidRDefault="004D7EBC">
      <w:pPr>
        <w:spacing w:line="240" w:lineRule="auto"/>
        <w:rPr>
          <w:lang w:val="en-US"/>
        </w:rPr>
      </w:pPr>
      <w:r>
        <w:rPr>
          <w:vertAlign w:val="superscript"/>
        </w:rPr>
        <w:footnoteRef/>
      </w:r>
      <w:r w:rsidRPr="004D7EBC">
        <w:rPr>
          <w:sz w:val="20"/>
          <w:szCs w:val="20"/>
          <w:lang w:val="en-US"/>
        </w:rPr>
        <w:t xml:space="preserve"> The operation has been financed by the entire banking system through the intervention of the national Resolution Fund after having imposed to shareholders and subordinate bondholders to absorb banks’ cumulative losses.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E24A5E"/>
    <w:multiLevelType w:val="multilevel"/>
    <w:tmpl w:val="55343E4E"/>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1">
    <w:nsid w:val="49DC4C9C"/>
    <w:multiLevelType w:val="multilevel"/>
    <w:tmpl w:val="986CFA7E"/>
    <w:lvl w:ilvl="0">
      <w:start w:val="1"/>
      <w:numFmt w:val="decimal"/>
      <w:lvlText w:val="%1."/>
      <w:lvlJc w:val="left"/>
      <w:pPr>
        <w:ind w:left="720" w:firstLine="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trackRevision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8C613C"/>
    <w:rsid w:val="00125F65"/>
    <w:rsid w:val="00234D66"/>
    <w:rsid w:val="003B118E"/>
    <w:rsid w:val="004D7EBC"/>
    <w:rsid w:val="00506FAE"/>
    <w:rsid w:val="00580BEF"/>
    <w:rsid w:val="005E65F0"/>
    <w:rsid w:val="0065381D"/>
    <w:rsid w:val="00674023"/>
    <w:rsid w:val="00775969"/>
    <w:rsid w:val="008B701E"/>
    <w:rsid w:val="008C613C"/>
    <w:rsid w:val="009925FF"/>
    <w:rsid w:val="009A4297"/>
    <w:rsid w:val="00A23677"/>
    <w:rsid w:val="00AF5EEA"/>
    <w:rsid w:val="00B45B0F"/>
    <w:rsid w:val="00CE10F8"/>
    <w:rsid w:val="00D6247C"/>
    <w:rsid w:val="00FC500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color w:val="000000"/>
        <w:sz w:val="24"/>
        <w:szCs w:val="24"/>
        <w:lang w:val="it-IT" w:eastAsia="it-IT"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style>
  <w:style w:type="paragraph" w:styleId="Titolo1">
    <w:name w:val="heading 1"/>
    <w:basedOn w:val="Normale"/>
    <w:next w:val="Normale"/>
    <w:pPr>
      <w:keepNext/>
      <w:keepLines/>
      <w:spacing w:before="240" w:after="60"/>
      <w:outlineLvl w:val="0"/>
    </w:pPr>
    <w:rPr>
      <w:rFonts w:ascii="Cambria" w:eastAsia="Cambria" w:hAnsi="Cambria" w:cs="Cambria"/>
      <w:b/>
      <w:sz w:val="32"/>
      <w:szCs w:val="32"/>
    </w:rPr>
  </w:style>
  <w:style w:type="paragraph" w:styleId="Titolo2">
    <w:name w:val="heading 2"/>
    <w:basedOn w:val="Normale"/>
    <w:next w:val="Normale"/>
    <w:pPr>
      <w:keepNext/>
      <w:keepLines/>
      <w:outlineLvl w:val="1"/>
    </w:pPr>
    <w:rPr>
      <w:b/>
      <w:i/>
    </w:rPr>
  </w:style>
  <w:style w:type="paragraph" w:styleId="Titolo3">
    <w:name w:val="heading 3"/>
    <w:basedOn w:val="Normale"/>
    <w:next w:val="Normale"/>
    <w:pPr>
      <w:keepNext/>
      <w:keepLines/>
      <w:ind w:left="567" w:right="851"/>
      <w:outlineLvl w:val="2"/>
    </w:pPr>
    <w:rPr>
      <w:b/>
    </w:rPr>
  </w:style>
  <w:style w:type="paragraph" w:styleId="Titolo4">
    <w:name w:val="heading 4"/>
    <w:basedOn w:val="Normale"/>
    <w:next w:val="Normale"/>
    <w:pPr>
      <w:keepNext/>
      <w:keepLines/>
      <w:spacing w:before="240" w:after="40"/>
      <w:contextualSpacing/>
      <w:outlineLvl w:val="3"/>
    </w:pPr>
    <w:rPr>
      <w:b/>
    </w:rPr>
  </w:style>
  <w:style w:type="paragraph" w:styleId="Titolo5">
    <w:name w:val="heading 5"/>
    <w:basedOn w:val="Normale"/>
    <w:next w:val="Normale"/>
    <w:pPr>
      <w:keepNext/>
      <w:keepLines/>
      <w:spacing w:before="220" w:after="40"/>
      <w:contextualSpacing/>
      <w:outlineLvl w:val="4"/>
    </w:pPr>
    <w:rPr>
      <w:b/>
      <w:sz w:val="22"/>
      <w:szCs w:val="22"/>
    </w:rPr>
  </w:style>
  <w:style w:type="paragraph" w:styleId="Titolo6">
    <w:name w:val="heading 6"/>
    <w:basedOn w:val="Normale"/>
    <w:next w:val="Normale"/>
    <w:pPr>
      <w:keepNext/>
      <w:keepLines/>
      <w:spacing w:before="200" w:after="40"/>
      <w:contextualSpacing/>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contextualSpacing/>
    </w:pPr>
    <w:rPr>
      <w:b/>
      <w:sz w:val="72"/>
      <w:szCs w:val="72"/>
    </w:rPr>
  </w:style>
  <w:style w:type="paragraph" w:styleId="Sottotitolo">
    <w:name w:val="Subtitle"/>
    <w:basedOn w:val="Normale"/>
    <w:next w:val="Normale"/>
    <w:pPr>
      <w:keepNext/>
      <w:keepLines/>
      <w:spacing w:before="360" w:after="80"/>
      <w:contextualSpacing/>
    </w:pPr>
    <w:rPr>
      <w:rFonts w:ascii="Georgia" w:eastAsia="Georgia" w:hAnsi="Georgia" w:cs="Georgia"/>
      <w:i/>
      <w:color w:val="666666"/>
      <w:sz w:val="48"/>
      <w:szCs w:val="48"/>
    </w:rPr>
  </w:style>
  <w:style w:type="paragraph" w:styleId="Testofumetto">
    <w:name w:val="Balloon Text"/>
    <w:basedOn w:val="Normale"/>
    <w:link w:val="TestofumettoCarattere"/>
    <w:uiPriority w:val="99"/>
    <w:semiHidden/>
    <w:unhideWhenUsed/>
    <w:rsid w:val="00775969"/>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759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color w:val="000000"/>
        <w:sz w:val="24"/>
        <w:szCs w:val="24"/>
        <w:lang w:val="it-IT" w:eastAsia="it-IT"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style>
  <w:style w:type="paragraph" w:styleId="Titolo1">
    <w:name w:val="heading 1"/>
    <w:basedOn w:val="Normale"/>
    <w:next w:val="Normale"/>
    <w:pPr>
      <w:keepNext/>
      <w:keepLines/>
      <w:spacing w:before="240" w:after="60"/>
      <w:outlineLvl w:val="0"/>
    </w:pPr>
    <w:rPr>
      <w:rFonts w:ascii="Cambria" w:eastAsia="Cambria" w:hAnsi="Cambria" w:cs="Cambria"/>
      <w:b/>
      <w:sz w:val="32"/>
      <w:szCs w:val="32"/>
    </w:rPr>
  </w:style>
  <w:style w:type="paragraph" w:styleId="Titolo2">
    <w:name w:val="heading 2"/>
    <w:basedOn w:val="Normale"/>
    <w:next w:val="Normale"/>
    <w:pPr>
      <w:keepNext/>
      <w:keepLines/>
      <w:outlineLvl w:val="1"/>
    </w:pPr>
    <w:rPr>
      <w:b/>
      <w:i/>
    </w:rPr>
  </w:style>
  <w:style w:type="paragraph" w:styleId="Titolo3">
    <w:name w:val="heading 3"/>
    <w:basedOn w:val="Normale"/>
    <w:next w:val="Normale"/>
    <w:pPr>
      <w:keepNext/>
      <w:keepLines/>
      <w:ind w:left="567" w:right="851"/>
      <w:outlineLvl w:val="2"/>
    </w:pPr>
    <w:rPr>
      <w:b/>
    </w:rPr>
  </w:style>
  <w:style w:type="paragraph" w:styleId="Titolo4">
    <w:name w:val="heading 4"/>
    <w:basedOn w:val="Normale"/>
    <w:next w:val="Normale"/>
    <w:pPr>
      <w:keepNext/>
      <w:keepLines/>
      <w:spacing w:before="240" w:after="40"/>
      <w:contextualSpacing/>
      <w:outlineLvl w:val="3"/>
    </w:pPr>
    <w:rPr>
      <w:b/>
    </w:rPr>
  </w:style>
  <w:style w:type="paragraph" w:styleId="Titolo5">
    <w:name w:val="heading 5"/>
    <w:basedOn w:val="Normale"/>
    <w:next w:val="Normale"/>
    <w:pPr>
      <w:keepNext/>
      <w:keepLines/>
      <w:spacing w:before="220" w:after="40"/>
      <w:contextualSpacing/>
      <w:outlineLvl w:val="4"/>
    </w:pPr>
    <w:rPr>
      <w:b/>
      <w:sz w:val="22"/>
      <w:szCs w:val="22"/>
    </w:rPr>
  </w:style>
  <w:style w:type="paragraph" w:styleId="Titolo6">
    <w:name w:val="heading 6"/>
    <w:basedOn w:val="Normale"/>
    <w:next w:val="Normale"/>
    <w:pPr>
      <w:keepNext/>
      <w:keepLines/>
      <w:spacing w:before="200" w:after="40"/>
      <w:contextualSpacing/>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spacing w:before="480" w:after="120"/>
      <w:contextualSpacing/>
    </w:pPr>
    <w:rPr>
      <w:b/>
      <w:sz w:val="72"/>
      <w:szCs w:val="72"/>
    </w:rPr>
  </w:style>
  <w:style w:type="paragraph" w:styleId="Sottotitolo">
    <w:name w:val="Subtitle"/>
    <w:basedOn w:val="Normale"/>
    <w:next w:val="Normale"/>
    <w:pPr>
      <w:keepNext/>
      <w:keepLines/>
      <w:spacing w:before="360" w:after="80"/>
      <w:contextualSpacing/>
    </w:pPr>
    <w:rPr>
      <w:rFonts w:ascii="Georgia" w:eastAsia="Georgia" w:hAnsi="Georgia" w:cs="Georgia"/>
      <w:i/>
      <w:color w:val="666666"/>
      <w:sz w:val="48"/>
      <w:szCs w:val="48"/>
    </w:rPr>
  </w:style>
  <w:style w:type="paragraph" w:styleId="Testofumetto">
    <w:name w:val="Balloon Text"/>
    <w:basedOn w:val="Normale"/>
    <w:link w:val="TestofumettoCarattere"/>
    <w:uiPriority w:val="99"/>
    <w:semiHidden/>
    <w:unhideWhenUsed/>
    <w:rsid w:val="00775969"/>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7596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giulio.pedrini3@unibo.it"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giulio.pedrini3@unibo.it" TargetMode="External"/><Relationship Id="rId4" Type="http://schemas.openxmlformats.org/officeDocument/2006/relationships/settings" Target="settings.xml"/><Relationship Id="rId9" Type="http://schemas.openxmlformats.org/officeDocument/2006/relationships/hyperlink" Target="mailto:giulio.pedrini3@unib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28</Pages>
  <Words>9975</Words>
  <Characters>56863</Characters>
  <Application>Microsoft Office Word</Application>
  <DocSecurity>0</DocSecurity>
  <Lines>473</Lines>
  <Paragraphs>133</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66705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Giulio Pedrini</dc:creator>
  <cp:lastModifiedBy>Giulio Pedrini</cp:lastModifiedBy>
  <cp:revision>4</cp:revision>
  <dcterms:created xsi:type="dcterms:W3CDTF">2016-09-27T15:46:00Z</dcterms:created>
  <dcterms:modified xsi:type="dcterms:W3CDTF">2016-10-05T09:02:00Z</dcterms:modified>
</cp:coreProperties>
</file>