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5642" w:rsidRPr="00135D91" w:rsidRDefault="009A5642" w:rsidP="00CA7749">
      <w:pPr>
        <w:ind w:left="-567" w:right="-568"/>
        <w:jc w:val="center"/>
        <w:rPr>
          <w:rStyle w:val="MacchinadascrivereHTML"/>
          <w:rFonts w:ascii="Times New Roman" w:eastAsia="Calibri" w:hAnsi="Times New Roman" w:cs="Times New Roman"/>
          <w:sz w:val="22"/>
          <w:szCs w:val="22"/>
          <w:lang w:val="it-IT"/>
        </w:rPr>
      </w:pPr>
      <w:proofErr w:type="spellStart"/>
      <w:r w:rsidRPr="00135D91">
        <w:rPr>
          <w:rStyle w:val="MacchinadascrivereHTML"/>
          <w:rFonts w:ascii="Times New Roman" w:eastAsia="Calibri" w:hAnsi="Times New Roman" w:cs="Times New Roman"/>
          <w:sz w:val="22"/>
          <w:szCs w:val="22"/>
          <w:lang w:val="it-IT"/>
        </w:rPr>
        <w:t>Consideraciones</w:t>
      </w:r>
      <w:proofErr w:type="spellEnd"/>
      <w:r w:rsidRPr="00135D91">
        <w:rPr>
          <w:rStyle w:val="MacchinadascrivereHTML"/>
          <w:rFonts w:ascii="Times New Roman" w:eastAsia="Calibri" w:hAnsi="Times New Roman" w:cs="Times New Roman"/>
          <w:sz w:val="22"/>
          <w:szCs w:val="22"/>
          <w:lang w:val="it-IT"/>
        </w:rPr>
        <w:t xml:space="preserve"> </w:t>
      </w:r>
      <w:proofErr w:type="spellStart"/>
      <w:r w:rsidRPr="00135D91">
        <w:rPr>
          <w:rStyle w:val="MacchinadascrivereHTML"/>
          <w:rFonts w:ascii="Times New Roman" w:eastAsia="Calibri" w:hAnsi="Times New Roman" w:cs="Times New Roman"/>
          <w:sz w:val="22"/>
          <w:szCs w:val="22"/>
          <w:lang w:val="it-IT"/>
        </w:rPr>
        <w:t>sobre</w:t>
      </w:r>
      <w:proofErr w:type="spellEnd"/>
      <w:r w:rsidRPr="00135D91">
        <w:rPr>
          <w:rStyle w:val="MacchinadascrivereHTML"/>
          <w:rFonts w:ascii="Times New Roman" w:eastAsia="Calibri" w:hAnsi="Times New Roman" w:cs="Times New Roman"/>
          <w:sz w:val="22"/>
          <w:szCs w:val="22"/>
          <w:lang w:val="it-IT"/>
        </w:rPr>
        <w:t xml:space="preserve"> la </w:t>
      </w:r>
      <w:proofErr w:type="spellStart"/>
      <w:r w:rsidRPr="00135D91">
        <w:rPr>
          <w:rStyle w:val="MacchinadascrivereHTML"/>
          <w:rFonts w:ascii="Times New Roman" w:eastAsia="Calibri" w:hAnsi="Times New Roman" w:cs="Times New Roman"/>
          <w:sz w:val="22"/>
          <w:szCs w:val="22"/>
          <w:lang w:val="it-IT"/>
        </w:rPr>
        <w:t>revocabilidad</w:t>
      </w:r>
      <w:proofErr w:type="spellEnd"/>
      <w:r w:rsidRPr="00135D91">
        <w:rPr>
          <w:rStyle w:val="MacchinadascrivereHTML"/>
          <w:rFonts w:ascii="Times New Roman" w:eastAsia="Calibri" w:hAnsi="Times New Roman" w:cs="Times New Roman"/>
          <w:sz w:val="22"/>
          <w:szCs w:val="22"/>
          <w:lang w:val="it-IT"/>
        </w:rPr>
        <w:t xml:space="preserve"> de la </w:t>
      </w:r>
      <w:proofErr w:type="spellStart"/>
      <w:r w:rsidRPr="00135D91">
        <w:rPr>
          <w:rStyle w:val="MacchinadascrivereHTML"/>
          <w:rFonts w:ascii="Times New Roman" w:eastAsia="Calibri" w:hAnsi="Times New Roman" w:cs="Times New Roman"/>
          <w:sz w:val="22"/>
          <w:szCs w:val="22"/>
          <w:lang w:val="it-IT"/>
        </w:rPr>
        <w:t>querella</w:t>
      </w:r>
      <w:proofErr w:type="spellEnd"/>
      <w:r w:rsidRPr="00135D91">
        <w:rPr>
          <w:rStyle w:val="MacchinadascrivereHTML"/>
          <w:rFonts w:ascii="Times New Roman" w:eastAsia="Calibri" w:hAnsi="Times New Roman" w:cs="Times New Roman"/>
          <w:sz w:val="22"/>
          <w:szCs w:val="22"/>
          <w:lang w:val="it-IT"/>
        </w:rPr>
        <w:t xml:space="preserve"> </w:t>
      </w:r>
    </w:p>
    <w:p w:rsidR="009A5642" w:rsidRDefault="009A5642" w:rsidP="00CA7749">
      <w:pPr>
        <w:ind w:left="-567" w:right="-568"/>
        <w:jc w:val="center"/>
        <w:rPr>
          <w:rStyle w:val="MacchinadascrivereHTML"/>
          <w:rFonts w:ascii="Times New Roman" w:eastAsia="Calibri" w:hAnsi="Times New Roman" w:cs="Times New Roman"/>
          <w:sz w:val="22"/>
          <w:szCs w:val="22"/>
          <w:lang w:val="it-IT"/>
        </w:rPr>
      </w:pPr>
      <w:r w:rsidRPr="00135D91">
        <w:rPr>
          <w:rStyle w:val="MacchinadascrivereHTML"/>
          <w:rFonts w:ascii="Times New Roman" w:eastAsia="Calibri" w:hAnsi="Times New Roman" w:cs="Times New Roman"/>
          <w:sz w:val="22"/>
          <w:szCs w:val="22"/>
          <w:lang w:val="it-IT"/>
        </w:rPr>
        <w:t xml:space="preserve">en </w:t>
      </w:r>
      <w:proofErr w:type="spellStart"/>
      <w:r w:rsidRPr="00135D91">
        <w:rPr>
          <w:rStyle w:val="MacchinadascrivereHTML"/>
          <w:rFonts w:ascii="Times New Roman" w:eastAsia="Calibri" w:hAnsi="Times New Roman" w:cs="Times New Roman"/>
          <w:sz w:val="22"/>
          <w:szCs w:val="22"/>
          <w:lang w:val="it-IT"/>
        </w:rPr>
        <w:t>los</w:t>
      </w:r>
      <w:proofErr w:type="spellEnd"/>
      <w:r w:rsidRPr="00135D91">
        <w:rPr>
          <w:rStyle w:val="MacchinadascrivereHTML"/>
          <w:rFonts w:ascii="Times New Roman" w:eastAsia="Calibri" w:hAnsi="Times New Roman" w:cs="Times New Roman"/>
          <w:sz w:val="22"/>
          <w:szCs w:val="22"/>
          <w:lang w:val="it-IT"/>
        </w:rPr>
        <w:t xml:space="preserve"> </w:t>
      </w:r>
      <w:proofErr w:type="spellStart"/>
      <w:r w:rsidRPr="00135D91">
        <w:rPr>
          <w:rStyle w:val="MacchinadascrivereHTML"/>
          <w:rFonts w:ascii="Times New Roman" w:eastAsia="Calibri" w:hAnsi="Times New Roman" w:cs="Times New Roman"/>
          <w:sz w:val="22"/>
          <w:szCs w:val="22"/>
          <w:lang w:val="it-IT"/>
        </w:rPr>
        <w:t>procesos</w:t>
      </w:r>
      <w:proofErr w:type="spellEnd"/>
      <w:r w:rsidRPr="00135D91">
        <w:rPr>
          <w:rStyle w:val="MacchinadascrivereHTML"/>
          <w:rFonts w:ascii="Times New Roman" w:eastAsia="Calibri" w:hAnsi="Times New Roman" w:cs="Times New Roman"/>
          <w:sz w:val="22"/>
          <w:szCs w:val="22"/>
          <w:lang w:val="it-IT"/>
        </w:rPr>
        <w:t xml:space="preserve"> por </w:t>
      </w:r>
      <w:proofErr w:type="spellStart"/>
      <w:r w:rsidRPr="00135D91">
        <w:rPr>
          <w:rStyle w:val="MacchinadascrivereHTML"/>
          <w:rFonts w:ascii="Times New Roman" w:eastAsia="Calibri" w:hAnsi="Times New Roman" w:cs="Times New Roman"/>
          <w:sz w:val="22"/>
          <w:szCs w:val="22"/>
          <w:lang w:val="it-IT"/>
        </w:rPr>
        <w:t>violencia</w:t>
      </w:r>
      <w:proofErr w:type="spellEnd"/>
      <w:r w:rsidRPr="00135D91">
        <w:rPr>
          <w:rStyle w:val="MacchinadascrivereHTML"/>
          <w:rFonts w:ascii="Times New Roman" w:eastAsia="Calibri" w:hAnsi="Times New Roman" w:cs="Times New Roman"/>
          <w:sz w:val="22"/>
          <w:szCs w:val="22"/>
          <w:lang w:val="it-IT"/>
        </w:rPr>
        <w:t xml:space="preserve"> de </w:t>
      </w:r>
      <w:proofErr w:type="spellStart"/>
      <w:r w:rsidRPr="00135D91">
        <w:rPr>
          <w:rStyle w:val="MacchinadascrivereHTML"/>
          <w:rFonts w:ascii="Times New Roman" w:eastAsia="Calibri" w:hAnsi="Times New Roman" w:cs="Times New Roman"/>
          <w:sz w:val="22"/>
          <w:szCs w:val="22"/>
          <w:lang w:val="it-IT"/>
        </w:rPr>
        <w:t>género</w:t>
      </w:r>
      <w:proofErr w:type="spellEnd"/>
      <w:r w:rsidR="0097327A">
        <w:rPr>
          <w:rStyle w:val="MacchinadascrivereHTML"/>
          <w:rFonts w:ascii="Times New Roman" w:eastAsia="Calibri" w:hAnsi="Times New Roman" w:cs="Times New Roman"/>
          <w:sz w:val="22"/>
          <w:szCs w:val="22"/>
          <w:lang w:val="it-IT"/>
        </w:rPr>
        <w:t>*</w:t>
      </w:r>
    </w:p>
    <w:p w:rsidR="00256DDD" w:rsidRDefault="00256DDD" w:rsidP="00CA7749">
      <w:pPr>
        <w:ind w:left="-567" w:right="-568"/>
        <w:jc w:val="center"/>
        <w:rPr>
          <w:rStyle w:val="MacchinadascrivereHTML"/>
          <w:rFonts w:ascii="Times New Roman" w:eastAsia="Calibri" w:hAnsi="Times New Roman" w:cs="Times New Roman"/>
          <w:sz w:val="22"/>
          <w:szCs w:val="22"/>
          <w:lang w:val="it-IT"/>
        </w:rPr>
      </w:pPr>
    </w:p>
    <w:p w:rsidR="009A5642" w:rsidRPr="009A5642" w:rsidRDefault="009A5642" w:rsidP="00CA7749">
      <w:pPr>
        <w:ind w:left="-567" w:right="-568" w:firstLine="284"/>
        <w:jc w:val="both"/>
        <w:rPr>
          <w:rFonts w:ascii="Times New Roman" w:hAnsi="Times New Roman" w:cs="Times New Roman"/>
          <w:sz w:val="22"/>
          <w:szCs w:val="22"/>
          <w:lang w:val="it-IT"/>
        </w:rPr>
      </w:pPr>
    </w:p>
    <w:p w:rsidR="00356225" w:rsidRPr="00C0059B" w:rsidRDefault="00416DBD" w:rsidP="00CA7749">
      <w:pPr>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Sumario: 1. Determinaciones previas. – 2. La </w:t>
      </w:r>
      <w:r w:rsidRPr="00C0059B">
        <w:rPr>
          <w:rFonts w:ascii="Times New Roman" w:hAnsi="Times New Roman" w:cs="Times New Roman"/>
          <w:i/>
          <w:sz w:val="22"/>
          <w:szCs w:val="22"/>
          <w:lang w:val="es-ES"/>
        </w:rPr>
        <w:t>ratio</w:t>
      </w:r>
      <w:r w:rsidRPr="00C0059B">
        <w:rPr>
          <w:rFonts w:ascii="Times New Roman" w:hAnsi="Times New Roman" w:cs="Times New Roman"/>
          <w:sz w:val="22"/>
          <w:szCs w:val="22"/>
          <w:lang w:val="es-ES"/>
        </w:rPr>
        <w:t xml:space="preserve"> de la necesidad de querella para proceder por delitos sexuales y </w:t>
      </w:r>
      <w:r w:rsidRPr="00C0059B">
        <w:rPr>
          <w:rFonts w:ascii="Times New Roman" w:hAnsi="Times New Roman" w:cs="Times New Roman"/>
          <w:i/>
          <w:sz w:val="22"/>
          <w:szCs w:val="22"/>
          <w:lang w:val="es-ES"/>
        </w:rPr>
        <w:t>stalking</w:t>
      </w:r>
      <w:r w:rsidRPr="00C0059B">
        <w:rPr>
          <w:rFonts w:ascii="Times New Roman" w:hAnsi="Times New Roman" w:cs="Times New Roman"/>
          <w:sz w:val="22"/>
          <w:szCs w:val="22"/>
          <w:lang w:val="es-ES"/>
        </w:rPr>
        <w:t xml:space="preserve"> – 3. Una mirada a las víctimas. – 4. ¿De qué “libertad” para las mujeres estamos hablando?</w:t>
      </w:r>
    </w:p>
    <w:p w:rsidR="00416DBD" w:rsidRPr="00C0059B" w:rsidRDefault="00416DBD" w:rsidP="00CA7749">
      <w:pPr>
        <w:spacing w:line="360" w:lineRule="auto"/>
        <w:ind w:left="-567" w:right="-568" w:firstLine="284"/>
        <w:jc w:val="both"/>
        <w:rPr>
          <w:rFonts w:ascii="Times New Roman" w:hAnsi="Times New Roman" w:cs="Times New Roman"/>
          <w:sz w:val="22"/>
          <w:szCs w:val="22"/>
          <w:lang w:val="es-ES"/>
        </w:rPr>
      </w:pPr>
    </w:p>
    <w:p w:rsidR="00416DBD" w:rsidRPr="00C0059B" w:rsidRDefault="004449A9"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b/>
          <w:sz w:val="22"/>
          <w:szCs w:val="22"/>
          <w:lang w:val="es-ES"/>
        </w:rPr>
        <w:t xml:space="preserve">1. </w:t>
      </w:r>
      <w:r w:rsidR="00416DBD" w:rsidRPr="00C0059B">
        <w:rPr>
          <w:rFonts w:ascii="Times New Roman" w:hAnsi="Times New Roman" w:cs="Times New Roman"/>
          <w:b/>
          <w:sz w:val="22"/>
          <w:szCs w:val="22"/>
          <w:lang w:val="es-ES"/>
        </w:rPr>
        <w:t>Determinaciones previas</w:t>
      </w:r>
      <w:r w:rsidR="00416DBD" w:rsidRPr="00C0059B">
        <w:rPr>
          <w:rFonts w:ascii="Times New Roman" w:hAnsi="Times New Roman" w:cs="Times New Roman"/>
          <w:sz w:val="22"/>
          <w:szCs w:val="22"/>
          <w:lang w:val="es-ES"/>
        </w:rPr>
        <w:t xml:space="preserve">. Con una disposición urgente de 14 de agosto de 2013, dirigida a reforzar en varios frentes la “seguridad” de los ciudadanos, el legislador italiano ha querido afrontar también la </w:t>
      </w:r>
      <w:r w:rsidR="00416DBD" w:rsidRPr="00C0059B">
        <w:rPr>
          <w:rFonts w:ascii="Times New Roman" w:hAnsi="Times New Roman" w:cs="Times New Roman"/>
          <w:i/>
          <w:sz w:val="22"/>
          <w:szCs w:val="22"/>
          <w:lang w:val="es-ES"/>
        </w:rPr>
        <w:t>alarma social</w:t>
      </w:r>
      <w:r w:rsidR="00416DBD" w:rsidRPr="00C0059B">
        <w:rPr>
          <w:rFonts w:ascii="Times New Roman" w:hAnsi="Times New Roman" w:cs="Times New Roman"/>
          <w:sz w:val="22"/>
          <w:szCs w:val="22"/>
          <w:lang w:val="es-ES"/>
        </w:rPr>
        <w:t xml:space="preserve"> producida como </w:t>
      </w:r>
      <w:r w:rsidR="00416DBD" w:rsidRPr="00C0059B">
        <w:rPr>
          <w:rFonts w:ascii="Times New Roman" w:hAnsi="Times New Roman" w:cs="Times New Roman"/>
          <w:i/>
          <w:sz w:val="22"/>
          <w:szCs w:val="22"/>
          <w:lang w:val="es-ES"/>
        </w:rPr>
        <w:t>consecuencia de hechos de gravísima crueldad contra mujeres</w:t>
      </w:r>
      <w:r w:rsidR="00416DBD" w:rsidRPr="00C0059B">
        <w:rPr>
          <w:rFonts w:ascii="Times New Roman" w:hAnsi="Times New Roman" w:cs="Times New Roman"/>
          <w:sz w:val="22"/>
          <w:szCs w:val="22"/>
          <w:lang w:val="es-ES"/>
        </w:rPr>
        <w:t xml:space="preserve">, a través del </w:t>
      </w:r>
      <w:r w:rsidR="00416DBD" w:rsidRPr="00C0059B">
        <w:rPr>
          <w:rFonts w:ascii="Times New Roman" w:hAnsi="Times New Roman" w:cs="Times New Roman"/>
          <w:i/>
          <w:sz w:val="22"/>
          <w:szCs w:val="22"/>
          <w:lang w:val="es-ES"/>
        </w:rPr>
        <w:t>endurecimiento</w:t>
      </w:r>
      <w:r w:rsidR="00416DBD" w:rsidRPr="00C0059B">
        <w:rPr>
          <w:rFonts w:ascii="Times New Roman" w:hAnsi="Times New Roman" w:cs="Times New Roman"/>
          <w:sz w:val="22"/>
          <w:szCs w:val="22"/>
          <w:lang w:val="es-ES"/>
        </w:rPr>
        <w:t xml:space="preserve">, </w:t>
      </w:r>
      <w:r w:rsidR="00416DBD" w:rsidRPr="00C0059B">
        <w:rPr>
          <w:rFonts w:ascii="Times New Roman" w:hAnsi="Times New Roman" w:cs="Times New Roman"/>
          <w:i/>
          <w:sz w:val="22"/>
          <w:szCs w:val="22"/>
          <w:lang w:val="es-ES"/>
        </w:rPr>
        <w:t>con finalidad disuasoria</w:t>
      </w:r>
      <w:r w:rsidR="00416DBD" w:rsidRPr="00C0059B">
        <w:rPr>
          <w:rFonts w:ascii="Times New Roman" w:hAnsi="Times New Roman" w:cs="Times New Roman"/>
          <w:sz w:val="22"/>
          <w:szCs w:val="22"/>
          <w:lang w:val="es-ES"/>
        </w:rPr>
        <w:t xml:space="preserve">, </w:t>
      </w:r>
      <w:r w:rsidR="00416DBD" w:rsidRPr="00C0059B">
        <w:rPr>
          <w:rFonts w:ascii="Times New Roman" w:hAnsi="Times New Roman" w:cs="Times New Roman"/>
          <w:i/>
          <w:sz w:val="22"/>
          <w:szCs w:val="22"/>
          <w:lang w:val="es-ES"/>
        </w:rPr>
        <w:t>del tratamiento punitivo de los autores de tales hechos</w:t>
      </w:r>
      <w:r w:rsidR="00416DBD" w:rsidRPr="00C0059B">
        <w:rPr>
          <w:rFonts w:ascii="Times New Roman" w:hAnsi="Times New Roman" w:cs="Times New Roman"/>
          <w:sz w:val="22"/>
          <w:szCs w:val="22"/>
          <w:lang w:val="es-ES"/>
        </w:rPr>
        <w:t>. Desde esta perspectiva, las medidas de lucha contra la violencia de género se han centrado principalmente en el ámbito del derecho penal material y procesal, dejándose para un momento ulterior la preparación de ese Plan extraordinario contra la violencia sexual y de género que ha sido nada más que bosquejado, pero que habría podido constituir, en una consideración menos apurada de los problemas, el objetivo principal de la intervención legislativa.</w:t>
      </w:r>
    </w:p>
    <w:p w:rsidR="00416DBD" w:rsidRPr="00C0059B" w:rsidRDefault="00010B0C"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En el marco de las modificaciones introducidas en el ámbito del sistema penal, ha suscitado particular atención la previsión de </w:t>
      </w:r>
      <w:r w:rsidRPr="00C0059B">
        <w:rPr>
          <w:rFonts w:ascii="Times New Roman" w:hAnsi="Times New Roman" w:cs="Times New Roman"/>
          <w:i/>
          <w:sz w:val="22"/>
          <w:szCs w:val="22"/>
          <w:lang w:val="es-ES"/>
        </w:rPr>
        <w:t>la imposibilidad de retirada</w:t>
      </w:r>
      <w:r w:rsidRPr="00C0059B">
        <w:rPr>
          <w:rFonts w:ascii="Times New Roman" w:hAnsi="Times New Roman" w:cs="Times New Roman"/>
          <w:sz w:val="22"/>
          <w:szCs w:val="22"/>
          <w:lang w:val="es-ES"/>
        </w:rPr>
        <w:t xml:space="preserve"> de la querella presentada por el delito de </w:t>
      </w:r>
      <w:r w:rsidRPr="00C0059B">
        <w:rPr>
          <w:rFonts w:ascii="Times New Roman" w:hAnsi="Times New Roman" w:cs="Times New Roman"/>
          <w:i/>
          <w:sz w:val="22"/>
          <w:szCs w:val="22"/>
          <w:lang w:val="es-ES"/>
        </w:rPr>
        <w:t>stalking</w:t>
      </w:r>
      <w:r w:rsidRPr="00C0059B">
        <w:rPr>
          <w:rFonts w:ascii="Times New Roman" w:hAnsi="Times New Roman" w:cs="Times New Roman"/>
          <w:sz w:val="22"/>
          <w:szCs w:val="22"/>
          <w:lang w:val="es-ES"/>
        </w:rPr>
        <w:t xml:space="preserve"> (mejor dicho, de “atti persecutori” o actos de persecución: art. 612-bis c.p.) cuya realización constituye a menudo un momento de transición en la escalada de la violencia contra la mujer, que preludia a veces un epílogo más trágico. Las críticas formuladas contra esta solución, ya adoptada por el código Rocco para los delitos contra la libertad sexual, han llevado al legislador, en sede de conversión del decreto ley 93/2013, a limitar su operatividad únicamente a los casos en que el delito se haya llevado a cabo con amenazas reiteradas y graves, porque, por ejemplo, se haya utilizado un arma. En todos los demás casos la ley 119/2013 ha restablecido la posibilidad de retirar la querella, pero solo en sede procesal, con el fin de permitir al juez apreciar la espontaneidad del acto de retirada.</w:t>
      </w:r>
    </w:p>
    <w:p w:rsidR="00010B0C" w:rsidRPr="00C0059B" w:rsidRDefault="00010B0C"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Los argumentos</w:t>
      </w:r>
      <w:r w:rsidR="00981AC1" w:rsidRPr="00C0059B">
        <w:rPr>
          <w:rFonts w:ascii="Times New Roman" w:hAnsi="Times New Roman" w:cs="Times New Roman"/>
          <w:sz w:val="22"/>
          <w:szCs w:val="22"/>
          <w:lang w:val="es-ES"/>
        </w:rPr>
        <w:t xml:space="preserve"> utilizados para inducir al legislador a corregir esa previsión no han sido distintos de los empleados, sin éxito, casi veinte años antes cuando, con ocasión de la reforma de los delitos sexuales, por parte de muchos se proponía que el mantenimiento del régimen de procedibilidad a instancia de parte en gran parte de esos delitos se acompañase de un replanteamiento de la prohibición originaria de retirada de la querella, de forma que se </w:t>
      </w:r>
      <w:r w:rsidR="00F72B79" w:rsidRPr="00C0059B">
        <w:rPr>
          <w:rFonts w:ascii="Times New Roman" w:hAnsi="Times New Roman" w:cs="Times New Roman"/>
          <w:sz w:val="22"/>
          <w:szCs w:val="22"/>
          <w:lang w:val="es-ES"/>
        </w:rPr>
        <w:t>permitiera a la mujer dar marcha atrás</w:t>
      </w:r>
      <w:r w:rsidR="00981AC1" w:rsidRPr="00C0059B">
        <w:rPr>
          <w:rFonts w:ascii="Times New Roman" w:hAnsi="Times New Roman" w:cs="Times New Roman"/>
          <w:sz w:val="22"/>
          <w:szCs w:val="22"/>
          <w:lang w:val="es-ES"/>
        </w:rPr>
        <w:t>, por la razón que fuera. El poder de decidir sobre el recurso o no a la justicia penal por la agresión sufri</w:t>
      </w:r>
      <w:r w:rsidR="00F72B79" w:rsidRPr="00C0059B">
        <w:rPr>
          <w:rFonts w:ascii="Times New Roman" w:hAnsi="Times New Roman" w:cs="Times New Roman"/>
          <w:sz w:val="22"/>
          <w:szCs w:val="22"/>
          <w:lang w:val="es-ES"/>
        </w:rPr>
        <w:t>da se consideraba – y todavía sigue considerándose</w:t>
      </w:r>
      <w:r w:rsidR="00981AC1" w:rsidRPr="00C0059B">
        <w:rPr>
          <w:rFonts w:ascii="Times New Roman" w:hAnsi="Times New Roman" w:cs="Times New Roman"/>
          <w:sz w:val="22"/>
          <w:szCs w:val="22"/>
          <w:lang w:val="es-ES"/>
        </w:rPr>
        <w:t xml:space="preserve"> hoy así – expresión necesaria e imprescindible de la libertad de autodeterminación de la mujer, cuyo sacrificio no podría imponerse para satisfacer pretendidas instancias punitivas y securitarias</w:t>
      </w:r>
      <w:r w:rsidR="00981AC1" w:rsidRPr="00C0059B">
        <w:rPr>
          <w:rStyle w:val="Rimandonotaapidipagina"/>
          <w:rFonts w:ascii="Times New Roman" w:hAnsi="Times New Roman" w:cs="Times New Roman"/>
          <w:sz w:val="22"/>
          <w:szCs w:val="22"/>
          <w:lang w:val="es-ES"/>
        </w:rPr>
        <w:footnoteReference w:id="1"/>
      </w:r>
      <w:r w:rsidR="00981AC1" w:rsidRPr="00C0059B">
        <w:rPr>
          <w:rFonts w:ascii="Times New Roman" w:hAnsi="Times New Roman" w:cs="Times New Roman"/>
          <w:sz w:val="22"/>
          <w:szCs w:val="22"/>
          <w:lang w:val="es-ES"/>
        </w:rPr>
        <w:t>.</w:t>
      </w:r>
    </w:p>
    <w:p w:rsidR="00981AC1" w:rsidRPr="00C0059B" w:rsidRDefault="00981AC1"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lastRenderedPageBreak/>
        <w:t>No obstante, esa reivindicación de principio merece hoy ser reconsiderada, no solo debido al mayor conocimiento del fenómeno de la violencia contra las mujeres que hemos adquirido respecto de los años 90, sino también por las in</w:t>
      </w:r>
      <w:r w:rsidR="00275184" w:rsidRPr="00C0059B">
        <w:rPr>
          <w:rFonts w:ascii="Times New Roman" w:hAnsi="Times New Roman" w:cs="Times New Roman"/>
          <w:sz w:val="22"/>
          <w:szCs w:val="22"/>
          <w:lang w:val="es-ES"/>
        </w:rPr>
        <w:t>dicaciones que nos llegan del contexto internacional.</w:t>
      </w:r>
    </w:p>
    <w:p w:rsidR="00275184" w:rsidRPr="00C0059B" w:rsidRDefault="00275184"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Con la entrada en vigor, el 1 de agosto de 2014, del Convenio del Consejo de Europa sobre prevención y lucha contra la violencia contra las mujeres y la violencia doméstica (denominado Convenio de Estambul) se ha convertido en vinculante, de hecho, el compromiso, asumido por el Estado italiano con la ratificación del Convenio en junio de 2013, de velar por “</w:t>
      </w:r>
      <w:r w:rsidRPr="00C0059B">
        <w:rPr>
          <w:rFonts w:ascii="Times New Roman" w:hAnsi="Times New Roman" w:cs="Times New Roman"/>
          <w:i/>
          <w:sz w:val="22"/>
          <w:szCs w:val="22"/>
          <w:lang w:val="es-ES"/>
        </w:rPr>
        <w:t>que las investigaciones o procedimientos relativos a los delitos previstos en los artículos 35, 36, 37, 38 y 39 del presente Convenio no dependan totalmente de una denuncia o demanda de la víctima cuando el delito se hubiera cometido, en parte o en su totalidad, en su territorio, y por que el procedimiento pueda continuar su tramitación incluso cuando la víctima se retracte o retire su denuncia</w:t>
      </w:r>
      <w:r w:rsidRPr="00C0059B">
        <w:rPr>
          <w:rFonts w:ascii="Times New Roman" w:hAnsi="Times New Roman" w:cs="Times New Roman"/>
          <w:sz w:val="22"/>
          <w:szCs w:val="22"/>
          <w:lang w:val="es-ES"/>
        </w:rPr>
        <w:t>” (art. 55).</w:t>
      </w:r>
    </w:p>
    <w:p w:rsidR="00275184" w:rsidRPr="00C0059B" w:rsidRDefault="00275184"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Se evidencia en esta disposición una clara toma de posición contra la facultad atribuida a la víctima de decidir el inicio y la prosecución del procedimiento penal en presencia de uno de esos delitos en los que se manifiesta la violencia masculina contra las mujeres: la violencia física y sexual, el matrimonio forzado, la mutilación genital femenina, el aborto y la esterilización sin consentimiento. Y aunque el </w:t>
      </w:r>
      <w:r w:rsidRPr="00C0059B">
        <w:rPr>
          <w:rFonts w:ascii="Times New Roman" w:hAnsi="Times New Roman" w:cs="Times New Roman"/>
          <w:i/>
          <w:sz w:val="22"/>
          <w:szCs w:val="22"/>
          <w:lang w:val="es-ES"/>
        </w:rPr>
        <w:t>stalking</w:t>
      </w:r>
      <w:r w:rsidRPr="00C0059B">
        <w:rPr>
          <w:rFonts w:ascii="Times New Roman" w:hAnsi="Times New Roman" w:cs="Times New Roman"/>
          <w:sz w:val="22"/>
          <w:szCs w:val="22"/>
          <w:lang w:val="es-ES"/>
        </w:rPr>
        <w:t xml:space="preserve"> (art. 34), junto con la violencia psicológica (art. 33), ha quedado fuera de ese elenco, quizás por su me</w:t>
      </w:r>
      <w:r w:rsidR="008F1A19" w:rsidRPr="00C0059B">
        <w:rPr>
          <w:rFonts w:ascii="Times New Roman" w:hAnsi="Times New Roman" w:cs="Times New Roman"/>
          <w:sz w:val="22"/>
          <w:szCs w:val="22"/>
          <w:lang w:val="es-ES"/>
        </w:rPr>
        <w:t>nor carga ofensiva, en el</w:t>
      </w:r>
      <w:r w:rsidR="00F72B79" w:rsidRPr="00C0059B">
        <w:rPr>
          <w:rFonts w:ascii="Times New Roman" w:hAnsi="Times New Roman" w:cs="Times New Roman"/>
          <w:sz w:val="22"/>
          <w:szCs w:val="22"/>
          <w:lang w:val="es-ES"/>
        </w:rPr>
        <w:t xml:space="preserve"> o</w:t>
      </w:r>
      <w:r w:rsidRPr="00C0059B">
        <w:rPr>
          <w:rFonts w:ascii="Times New Roman" w:hAnsi="Times New Roman" w:cs="Times New Roman"/>
          <w:sz w:val="22"/>
          <w:szCs w:val="22"/>
          <w:lang w:val="es-ES"/>
        </w:rPr>
        <w:t>rdenamiento</w:t>
      </w:r>
      <w:r w:rsidR="008F1A19" w:rsidRPr="00C0059B">
        <w:rPr>
          <w:rFonts w:ascii="Times New Roman" w:hAnsi="Times New Roman" w:cs="Times New Roman"/>
          <w:sz w:val="22"/>
          <w:szCs w:val="22"/>
          <w:lang w:val="es-ES"/>
        </w:rPr>
        <w:t xml:space="preserve"> italiano</w:t>
      </w:r>
      <w:r w:rsidRPr="00C0059B">
        <w:rPr>
          <w:rFonts w:ascii="Times New Roman" w:hAnsi="Times New Roman" w:cs="Times New Roman"/>
          <w:sz w:val="22"/>
          <w:szCs w:val="22"/>
          <w:lang w:val="es-ES"/>
        </w:rPr>
        <w:t xml:space="preserve"> el cambio del régimen de procedibilidad tradicionalmente adoptado para la violencia sexual no podría no incluir también el delito de actos de persecución porque, como se verá, común a los dos delitos es la razón de la derogación de la perseguibilidad de oficio prevista por el legislador.</w:t>
      </w:r>
    </w:p>
    <w:p w:rsidR="00275184" w:rsidRPr="00C0059B" w:rsidRDefault="00275184"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La exigencia expresa del Convenio de Estambul encuentra, por lo demás, un eco en la jurisprudencia supranacional más reciente, en la cual también ha prevalecido la idea, respecto de los actos de violencia no ocasionales, realizados por el compañero, de que el Estado no puede sustraerse a sus deberes de protección de los derechos de la víctima, deteniéndose ante la voluntad contraria de ésta. Así, por ejemplo</w:t>
      </w:r>
      <w:r w:rsidR="002E74C5" w:rsidRPr="00C0059B">
        <w:rPr>
          <w:rFonts w:ascii="Times New Roman" w:hAnsi="Times New Roman" w:cs="Times New Roman"/>
          <w:sz w:val="22"/>
          <w:szCs w:val="22"/>
          <w:lang w:val="es-ES"/>
        </w:rPr>
        <w:t>, encontrándose frente a un caso de repetidos episodios de violencia física y psicológica por parte de un ciudadano turco contra la mujer y la suegra (asesinada a continuación), por lo</w:t>
      </w:r>
      <w:r w:rsidR="00F72B79" w:rsidRPr="00C0059B">
        <w:rPr>
          <w:rFonts w:ascii="Times New Roman" w:hAnsi="Times New Roman" w:cs="Times New Roman"/>
          <w:sz w:val="22"/>
          <w:szCs w:val="22"/>
          <w:lang w:val="es-ES"/>
        </w:rPr>
        <w:t>s</w:t>
      </w:r>
      <w:r w:rsidR="002E74C5" w:rsidRPr="00C0059B">
        <w:rPr>
          <w:rFonts w:ascii="Times New Roman" w:hAnsi="Times New Roman" w:cs="Times New Roman"/>
          <w:sz w:val="22"/>
          <w:szCs w:val="22"/>
          <w:lang w:val="es-ES"/>
        </w:rPr>
        <w:t xml:space="preserve"> que no se había pronunciado nunca una condena, habiendo la víctima siempre retirado las denuncias presentadas, el Tribunal Europeo de Derechos Humanos ha apreciado una violación por parte del Estado turco no solo del derecho a la vida de una de las dos víctimas (art. 2 TEDH), no tutelado adecuadamente frente a las continuas amenazas de muerte, sino también de la prohibición de tratos inhumanos y degradantes (art. 3 TEDH), por el estado de tota</w:t>
      </w:r>
      <w:r w:rsidR="008F1A19" w:rsidRPr="00C0059B">
        <w:rPr>
          <w:rFonts w:ascii="Times New Roman" w:hAnsi="Times New Roman" w:cs="Times New Roman"/>
          <w:sz w:val="22"/>
          <w:szCs w:val="22"/>
          <w:lang w:val="es-ES"/>
        </w:rPr>
        <w:t>l abandono en que se había dejado a</w:t>
      </w:r>
      <w:r w:rsidR="002E74C5" w:rsidRPr="00C0059B">
        <w:rPr>
          <w:rFonts w:ascii="Times New Roman" w:hAnsi="Times New Roman" w:cs="Times New Roman"/>
          <w:sz w:val="22"/>
          <w:szCs w:val="22"/>
          <w:lang w:val="es-ES"/>
        </w:rPr>
        <w:t xml:space="preserve"> las víctimas, como consecuencia de la que en apariencia resultaba ser su común voluntad de no proceder contra el hombre violento. En este caso, además, por primera vez, se ha apreciado también una violación de la prohibición de discriminación (art. 14 TEDH), reconociéndose que la violencia de la que las dos mujeres habían sido víctimas era expresión de una discriminación de género</w:t>
      </w:r>
      <w:r w:rsidR="002E74C5" w:rsidRPr="00C0059B">
        <w:rPr>
          <w:rStyle w:val="Rimandonotaapidipagina"/>
          <w:rFonts w:ascii="Times New Roman" w:hAnsi="Times New Roman" w:cs="Times New Roman"/>
          <w:sz w:val="22"/>
          <w:szCs w:val="22"/>
          <w:lang w:val="es-ES"/>
        </w:rPr>
        <w:footnoteReference w:id="2"/>
      </w:r>
      <w:r w:rsidR="002E74C5" w:rsidRPr="00C0059B">
        <w:rPr>
          <w:rFonts w:ascii="Times New Roman" w:hAnsi="Times New Roman" w:cs="Times New Roman"/>
          <w:sz w:val="22"/>
          <w:szCs w:val="22"/>
          <w:lang w:val="es-ES"/>
        </w:rPr>
        <w:t>.</w:t>
      </w:r>
    </w:p>
    <w:p w:rsidR="002E74C5" w:rsidRPr="00C0059B" w:rsidRDefault="002E74C5"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Consideraciones análogas, por cuanto aquí interesa, se pueden encontrar también en el pronunciamiento del Tribunal de Justicia de la Unión Europea de 2011 en los asuntos acumulados Gueye y Sánchez, en los </w:t>
      </w:r>
      <w:r w:rsidRPr="00C0059B">
        <w:rPr>
          <w:rFonts w:ascii="Times New Roman" w:hAnsi="Times New Roman" w:cs="Times New Roman"/>
          <w:sz w:val="22"/>
          <w:szCs w:val="22"/>
          <w:lang w:val="es-ES"/>
        </w:rPr>
        <w:lastRenderedPageBreak/>
        <w:t>que se discutía si la Decisión marco de 2001 relativa a la posición de la víctima en el procedimiento penal consentía la imposición al maltratador de una medida de alejamiento de la casa familiar, incluso contra la voluntad de la víctima: al responder afirmativamente a esta cuestión el Tribunal ha querido subrayar que “</w:t>
      </w:r>
      <w:r w:rsidRPr="00C0059B">
        <w:rPr>
          <w:rFonts w:ascii="Times New Roman" w:hAnsi="Times New Roman" w:cs="Times New Roman"/>
          <w:i/>
          <w:sz w:val="22"/>
          <w:szCs w:val="22"/>
          <w:lang w:val="es-ES"/>
        </w:rPr>
        <w:t>la tutela penal frente a los actos de violencia doméstica que un Estado miembro garantiza ejerciendo su propio poder represivo se dirige a proteger no solo los intereses de la víctima tal y como ésta los percibe, sino también otros intereses más generales de la colectividad</w:t>
      </w:r>
      <w:r w:rsidRPr="00C0059B">
        <w:rPr>
          <w:rFonts w:ascii="Times New Roman" w:hAnsi="Times New Roman" w:cs="Times New Roman"/>
          <w:sz w:val="22"/>
          <w:szCs w:val="22"/>
          <w:lang w:val="es-ES"/>
        </w:rPr>
        <w:t>”</w:t>
      </w:r>
      <w:r w:rsidRPr="00C0059B">
        <w:rPr>
          <w:rStyle w:val="Rimandonotaapidipagina"/>
          <w:rFonts w:ascii="Times New Roman" w:hAnsi="Times New Roman" w:cs="Times New Roman"/>
          <w:sz w:val="22"/>
          <w:szCs w:val="22"/>
          <w:lang w:val="es-ES"/>
        </w:rPr>
        <w:footnoteReference w:id="3"/>
      </w:r>
      <w:r w:rsidRPr="00C0059B">
        <w:rPr>
          <w:rFonts w:ascii="Times New Roman" w:hAnsi="Times New Roman" w:cs="Times New Roman"/>
          <w:sz w:val="22"/>
          <w:szCs w:val="22"/>
          <w:lang w:val="es-ES"/>
        </w:rPr>
        <w:t>.</w:t>
      </w:r>
    </w:p>
    <w:p w:rsidR="00D14B0A" w:rsidRPr="00C0059B" w:rsidRDefault="00D14B0A"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En este nuevo escenario, en el que el objetivo perseguido es “</w:t>
      </w:r>
      <w:r w:rsidRPr="00C0059B">
        <w:rPr>
          <w:rFonts w:ascii="Times New Roman" w:hAnsi="Times New Roman" w:cs="Times New Roman"/>
          <w:i/>
          <w:sz w:val="22"/>
          <w:szCs w:val="22"/>
          <w:lang w:val="es-ES"/>
        </w:rPr>
        <w:t>eliminar la responsabilidad por la violencia que pesa sobre las mujeres y responsabilizar a los autores</w:t>
      </w:r>
      <w:r w:rsidRPr="00C0059B">
        <w:rPr>
          <w:rFonts w:ascii="Times New Roman" w:hAnsi="Times New Roman" w:cs="Times New Roman"/>
          <w:sz w:val="22"/>
          <w:szCs w:val="22"/>
          <w:lang w:val="es-ES"/>
        </w:rPr>
        <w:t>”</w:t>
      </w:r>
      <w:r w:rsidRPr="00C0059B">
        <w:rPr>
          <w:rStyle w:val="Rimandonotaapidipagina"/>
          <w:rFonts w:ascii="Times New Roman" w:hAnsi="Times New Roman" w:cs="Times New Roman"/>
          <w:sz w:val="22"/>
          <w:szCs w:val="22"/>
          <w:lang w:val="es-ES"/>
        </w:rPr>
        <w:footnoteReference w:id="4"/>
      </w:r>
      <w:r w:rsidRPr="00C0059B">
        <w:rPr>
          <w:rFonts w:ascii="Times New Roman" w:hAnsi="Times New Roman" w:cs="Times New Roman"/>
          <w:sz w:val="22"/>
          <w:szCs w:val="22"/>
          <w:lang w:val="es-ES"/>
        </w:rPr>
        <w:t xml:space="preserve">, parece oportuno volver a reflexionar sobre el significado de la querella como instrumento que permitiría a las mujeres sustraerse a ese proceso de victimización secundaria representado por la participación en un procedimiento penal contra su voluntad. Surge espontáneamente la pregunta acerca de si, en otras palabras, de verdad </w:t>
      </w:r>
      <w:r w:rsidR="00F72B79" w:rsidRPr="00C0059B">
        <w:rPr>
          <w:rFonts w:ascii="Times New Roman" w:hAnsi="Times New Roman" w:cs="Times New Roman"/>
          <w:sz w:val="22"/>
          <w:szCs w:val="22"/>
          <w:lang w:val="es-ES"/>
        </w:rPr>
        <w:t xml:space="preserve">se halla </w:t>
      </w:r>
      <w:r w:rsidRPr="00C0059B">
        <w:rPr>
          <w:rFonts w:ascii="Times New Roman" w:hAnsi="Times New Roman" w:cs="Times New Roman"/>
          <w:sz w:val="22"/>
          <w:szCs w:val="22"/>
          <w:lang w:val="es-ES"/>
        </w:rPr>
        <w:t>tras la titulari</w:t>
      </w:r>
      <w:r w:rsidR="00F72B79" w:rsidRPr="00C0059B">
        <w:rPr>
          <w:rFonts w:ascii="Times New Roman" w:hAnsi="Times New Roman" w:cs="Times New Roman"/>
          <w:sz w:val="22"/>
          <w:szCs w:val="22"/>
          <w:lang w:val="es-ES"/>
        </w:rPr>
        <w:t>dad del derecho de querella</w:t>
      </w:r>
      <w:r w:rsidRPr="00C0059B">
        <w:rPr>
          <w:rFonts w:ascii="Times New Roman" w:hAnsi="Times New Roman" w:cs="Times New Roman"/>
          <w:sz w:val="22"/>
          <w:szCs w:val="22"/>
          <w:lang w:val="es-ES"/>
        </w:rPr>
        <w:t xml:space="preserve"> la libertad de la mujer a la hora de decidir si recurrir al sistema de justicia penal ante delitos intrínsecamente violentos, como la violencia sexual y los actos de persecución.</w:t>
      </w:r>
      <w:r w:rsidR="004449A9" w:rsidRPr="00C0059B">
        <w:rPr>
          <w:rFonts w:ascii="Times New Roman" w:hAnsi="Times New Roman" w:cs="Times New Roman"/>
          <w:sz w:val="22"/>
          <w:szCs w:val="22"/>
          <w:lang w:val="es-ES"/>
        </w:rPr>
        <w:t xml:space="preserve"> Una pregunta que obliga a un estudio doble, sobre las normas y sobre su aplicación práctica,</w:t>
      </w:r>
      <w:r w:rsidR="00F72B79" w:rsidRPr="00C0059B">
        <w:rPr>
          <w:rFonts w:ascii="Times New Roman" w:hAnsi="Times New Roman" w:cs="Times New Roman"/>
          <w:sz w:val="22"/>
          <w:szCs w:val="22"/>
          <w:lang w:val="es-ES"/>
        </w:rPr>
        <w:t xml:space="preserve"> solo</w:t>
      </w:r>
      <w:r w:rsidR="004449A9" w:rsidRPr="00C0059B">
        <w:rPr>
          <w:rFonts w:ascii="Times New Roman" w:hAnsi="Times New Roman" w:cs="Times New Roman"/>
          <w:sz w:val="22"/>
          <w:szCs w:val="22"/>
          <w:lang w:val="es-ES"/>
        </w:rPr>
        <w:t xml:space="preserve"> al finalizar el cual podrá decirse si el abandono del régimen de la procedibilidad a instancia de parte y d</w:t>
      </w:r>
      <w:r w:rsidR="008F1A19" w:rsidRPr="00C0059B">
        <w:rPr>
          <w:rFonts w:ascii="Times New Roman" w:hAnsi="Times New Roman" w:cs="Times New Roman"/>
          <w:sz w:val="22"/>
          <w:szCs w:val="22"/>
          <w:lang w:val="es-ES"/>
        </w:rPr>
        <w:t>e la posibilidad de retirada de</w:t>
      </w:r>
      <w:r w:rsidR="004449A9" w:rsidRPr="00C0059B">
        <w:rPr>
          <w:rFonts w:ascii="Times New Roman" w:hAnsi="Times New Roman" w:cs="Times New Roman"/>
          <w:sz w:val="22"/>
          <w:szCs w:val="22"/>
          <w:lang w:val="es-ES"/>
        </w:rPr>
        <w:t xml:space="preserve"> la querella comportaría una (enésima) violencia contra las mujeres en nom</w:t>
      </w:r>
      <w:r w:rsidR="00F72B79" w:rsidRPr="00C0059B">
        <w:rPr>
          <w:rFonts w:ascii="Times New Roman" w:hAnsi="Times New Roman" w:cs="Times New Roman"/>
          <w:sz w:val="22"/>
          <w:szCs w:val="22"/>
          <w:lang w:val="es-ES"/>
        </w:rPr>
        <w:t>bre de una batalla que se dice</w:t>
      </w:r>
      <w:r w:rsidR="004449A9" w:rsidRPr="00C0059B">
        <w:rPr>
          <w:rFonts w:ascii="Times New Roman" w:hAnsi="Times New Roman" w:cs="Times New Roman"/>
          <w:sz w:val="22"/>
          <w:szCs w:val="22"/>
          <w:lang w:val="es-ES"/>
        </w:rPr>
        <w:t xml:space="preserve"> combatida en su interés</w:t>
      </w:r>
      <w:r w:rsidR="004449A9" w:rsidRPr="00C0059B">
        <w:rPr>
          <w:rStyle w:val="Rimandonotaapidipagina"/>
          <w:rFonts w:ascii="Times New Roman" w:hAnsi="Times New Roman" w:cs="Times New Roman"/>
          <w:sz w:val="22"/>
          <w:szCs w:val="22"/>
          <w:lang w:val="es-ES"/>
        </w:rPr>
        <w:footnoteReference w:id="5"/>
      </w:r>
      <w:r w:rsidR="004449A9" w:rsidRPr="00C0059B">
        <w:rPr>
          <w:rFonts w:ascii="Times New Roman" w:hAnsi="Times New Roman" w:cs="Times New Roman"/>
          <w:sz w:val="22"/>
          <w:szCs w:val="22"/>
          <w:lang w:val="es-ES"/>
        </w:rPr>
        <w:t xml:space="preserve">, o bien si la actuación del Convenio de Estambul desde esta perspectiva no es la ocasión de desenmascarar la hipocresía de un sistema que se desinteresa de las víctimas de estos delitos, sabiendo que la responsabilidad por la falta de protección podrá atribuirse a las propias víctimas que, como es sabido, denuncian poco y cuando denuncian a menudo </w:t>
      </w:r>
      <w:r w:rsidR="00F72B79" w:rsidRPr="00C0059B">
        <w:rPr>
          <w:rFonts w:ascii="Times New Roman" w:hAnsi="Times New Roman" w:cs="Times New Roman"/>
          <w:sz w:val="22"/>
          <w:szCs w:val="22"/>
          <w:lang w:val="es-ES"/>
        </w:rPr>
        <w:t>dan marcha atrás</w:t>
      </w:r>
      <w:r w:rsidR="004449A9" w:rsidRPr="00C0059B">
        <w:rPr>
          <w:rFonts w:ascii="Times New Roman" w:hAnsi="Times New Roman" w:cs="Times New Roman"/>
          <w:sz w:val="22"/>
          <w:szCs w:val="22"/>
          <w:lang w:val="es-ES"/>
        </w:rPr>
        <w:t>. Sintomática de este estado de cosas nos parece la práctica judicial – motivada por las más nobles intenciones – de cambiar de rúbrica el delito de malos tratos contra familiares y convivientes (art. 572 c.p.), perseguible de oficio, pasándolo al de lesiones personales levísimas (art. 582, segundo párrafo, c.p.), perseguible previa querella cuando la</w:t>
      </w:r>
      <w:r w:rsidR="00F72B79" w:rsidRPr="00C0059B">
        <w:rPr>
          <w:rFonts w:ascii="Times New Roman" w:hAnsi="Times New Roman" w:cs="Times New Roman"/>
          <w:sz w:val="22"/>
          <w:szCs w:val="22"/>
          <w:lang w:val="es-ES"/>
        </w:rPr>
        <w:t xml:space="preserve"> curación de la</w:t>
      </w:r>
      <w:r w:rsidR="004449A9" w:rsidRPr="00C0059B">
        <w:rPr>
          <w:rFonts w:ascii="Times New Roman" w:hAnsi="Times New Roman" w:cs="Times New Roman"/>
          <w:sz w:val="22"/>
          <w:szCs w:val="22"/>
          <w:lang w:val="es-ES"/>
        </w:rPr>
        <w:t xml:space="preserve"> lesión </w:t>
      </w:r>
      <w:r w:rsidR="00F72B79" w:rsidRPr="00C0059B">
        <w:rPr>
          <w:rFonts w:ascii="Times New Roman" w:hAnsi="Times New Roman" w:cs="Times New Roman"/>
          <w:sz w:val="22"/>
          <w:szCs w:val="22"/>
          <w:lang w:val="es-ES"/>
        </w:rPr>
        <w:t>causada a la víctima haya necesitado</w:t>
      </w:r>
      <w:r w:rsidR="004449A9" w:rsidRPr="00C0059B">
        <w:rPr>
          <w:rFonts w:ascii="Times New Roman" w:hAnsi="Times New Roman" w:cs="Times New Roman"/>
          <w:sz w:val="22"/>
          <w:szCs w:val="22"/>
          <w:lang w:val="es-ES"/>
        </w:rPr>
        <w:t xml:space="preserve"> menos de 20 días, con el fin de apoyar la voluntad (y a veces solo la disponibilidad) de la mujer de retirar la querella, no teniendo interés en el resultado del proced</w:t>
      </w:r>
      <w:r w:rsidR="00F72B79" w:rsidRPr="00C0059B">
        <w:rPr>
          <w:rFonts w:ascii="Times New Roman" w:hAnsi="Times New Roman" w:cs="Times New Roman"/>
          <w:sz w:val="22"/>
          <w:szCs w:val="22"/>
          <w:lang w:val="es-ES"/>
        </w:rPr>
        <w:t>imiento penal en curso y aún</w:t>
      </w:r>
      <w:r w:rsidR="004449A9" w:rsidRPr="00C0059B">
        <w:rPr>
          <w:rFonts w:ascii="Times New Roman" w:hAnsi="Times New Roman" w:cs="Times New Roman"/>
          <w:sz w:val="22"/>
          <w:szCs w:val="22"/>
          <w:lang w:val="es-ES"/>
        </w:rPr>
        <w:t xml:space="preserve"> menos en la imposición de una sanción al familiar violento (porque, como sucede a menudo, a distancia de tanto tiempo la situación </w:t>
      </w:r>
      <w:r w:rsidR="00F72B79" w:rsidRPr="00C0059B">
        <w:rPr>
          <w:rFonts w:ascii="Times New Roman" w:hAnsi="Times New Roman" w:cs="Times New Roman"/>
          <w:sz w:val="22"/>
          <w:szCs w:val="22"/>
          <w:lang w:val="es-ES"/>
        </w:rPr>
        <w:t>ya se ha</w:t>
      </w:r>
      <w:r w:rsidR="004449A9" w:rsidRPr="00C0059B">
        <w:rPr>
          <w:rFonts w:ascii="Times New Roman" w:hAnsi="Times New Roman" w:cs="Times New Roman"/>
          <w:sz w:val="22"/>
          <w:szCs w:val="22"/>
          <w:lang w:val="es-ES"/>
        </w:rPr>
        <w:t xml:space="preserve"> estabilizado, con la ruptura definitiva de la relación).</w:t>
      </w:r>
    </w:p>
    <w:p w:rsidR="004449A9" w:rsidRPr="00C0059B" w:rsidRDefault="004449A9" w:rsidP="00CA7749">
      <w:pPr>
        <w:spacing w:line="360" w:lineRule="auto"/>
        <w:ind w:left="-567" w:right="-568" w:firstLine="284"/>
        <w:jc w:val="both"/>
        <w:rPr>
          <w:rFonts w:ascii="Times New Roman" w:hAnsi="Times New Roman" w:cs="Times New Roman"/>
          <w:sz w:val="22"/>
          <w:szCs w:val="22"/>
          <w:lang w:val="es-ES"/>
        </w:rPr>
      </w:pPr>
    </w:p>
    <w:p w:rsidR="004449A9" w:rsidRPr="00C0059B" w:rsidRDefault="004449A9"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b/>
          <w:sz w:val="22"/>
          <w:szCs w:val="22"/>
          <w:lang w:val="es-ES"/>
        </w:rPr>
        <w:t xml:space="preserve">2. La </w:t>
      </w:r>
      <w:r w:rsidRPr="00C0059B">
        <w:rPr>
          <w:rFonts w:ascii="Times New Roman" w:hAnsi="Times New Roman" w:cs="Times New Roman"/>
          <w:b/>
          <w:i/>
          <w:sz w:val="22"/>
          <w:szCs w:val="22"/>
          <w:lang w:val="es-ES"/>
        </w:rPr>
        <w:t>ratio</w:t>
      </w:r>
      <w:r w:rsidRPr="00C0059B">
        <w:rPr>
          <w:rFonts w:ascii="Times New Roman" w:hAnsi="Times New Roman" w:cs="Times New Roman"/>
          <w:b/>
          <w:sz w:val="22"/>
          <w:szCs w:val="22"/>
          <w:lang w:val="es-ES"/>
        </w:rPr>
        <w:t xml:space="preserve"> de la necesidad de querella para proceder por delitos sexuales y </w:t>
      </w:r>
      <w:r w:rsidRPr="00C0059B">
        <w:rPr>
          <w:rFonts w:ascii="Times New Roman" w:hAnsi="Times New Roman" w:cs="Times New Roman"/>
          <w:b/>
          <w:i/>
          <w:sz w:val="22"/>
          <w:szCs w:val="22"/>
          <w:lang w:val="es-ES"/>
        </w:rPr>
        <w:t>stalking</w:t>
      </w:r>
      <w:r w:rsidRPr="00C0059B">
        <w:rPr>
          <w:rFonts w:ascii="Times New Roman" w:hAnsi="Times New Roman" w:cs="Times New Roman"/>
          <w:sz w:val="22"/>
          <w:szCs w:val="22"/>
          <w:lang w:val="es-ES"/>
        </w:rPr>
        <w:t xml:space="preserve">. </w:t>
      </w:r>
      <w:r w:rsidR="00F51B7B" w:rsidRPr="00C0059B">
        <w:rPr>
          <w:rFonts w:ascii="Times New Roman" w:hAnsi="Times New Roman" w:cs="Times New Roman"/>
          <w:sz w:val="22"/>
          <w:szCs w:val="22"/>
          <w:lang w:val="es-ES"/>
        </w:rPr>
        <w:t xml:space="preserve">En el marco de la reflexión sobre el ámbito de operatividad de la querella </w:t>
      </w:r>
      <w:r w:rsidR="008F1A19" w:rsidRPr="00C0059B">
        <w:rPr>
          <w:rFonts w:ascii="Times New Roman" w:hAnsi="Times New Roman" w:cs="Times New Roman"/>
          <w:sz w:val="22"/>
          <w:szCs w:val="22"/>
          <w:lang w:val="es-ES"/>
        </w:rPr>
        <w:t>dentro del</w:t>
      </w:r>
      <w:r w:rsidR="00455603" w:rsidRPr="00C0059B">
        <w:rPr>
          <w:rFonts w:ascii="Times New Roman" w:hAnsi="Times New Roman" w:cs="Times New Roman"/>
          <w:sz w:val="22"/>
          <w:szCs w:val="22"/>
          <w:lang w:val="es-ES"/>
        </w:rPr>
        <w:t xml:space="preserve"> sistema penal</w:t>
      </w:r>
      <w:r w:rsidR="008F1A19" w:rsidRPr="00C0059B">
        <w:rPr>
          <w:rFonts w:ascii="Times New Roman" w:hAnsi="Times New Roman" w:cs="Times New Roman"/>
          <w:sz w:val="22"/>
          <w:szCs w:val="22"/>
          <w:lang w:val="es-ES"/>
        </w:rPr>
        <w:t xml:space="preserve"> italiano</w:t>
      </w:r>
      <w:r w:rsidR="00F51B7B" w:rsidRPr="00C0059B">
        <w:rPr>
          <w:rFonts w:ascii="Times New Roman" w:hAnsi="Times New Roman" w:cs="Times New Roman"/>
          <w:sz w:val="22"/>
          <w:szCs w:val="22"/>
          <w:lang w:val="es-ES"/>
        </w:rPr>
        <w:t xml:space="preserve"> se afirma habitualmente que, fuera de los casos “patológicos” en los que prevalecen exigencias de mera deflación procesal, el recurso a </w:t>
      </w:r>
      <w:r w:rsidR="00455603" w:rsidRPr="00C0059B">
        <w:rPr>
          <w:rFonts w:ascii="Times New Roman" w:hAnsi="Times New Roman" w:cs="Times New Roman"/>
          <w:sz w:val="22"/>
          <w:szCs w:val="22"/>
          <w:lang w:val="es-ES"/>
        </w:rPr>
        <w:t>la perseguibilidad</w:t>
      </w:r>
      <w:r w:rsidR="00F51B7B" w:rsidRPr="00C0059B">
        <w:rPr>
          <w:rFonts w:ascii="Times New Roman" w:hAnsi="Times New Roman" w:cs="Times New Roman"/>
          <w:sz w:val="22"/>
          <w:szCs w:val="22"/>
          <w:lang w:val="es-ES"/>
        </w:rPr>
        <w:t xml:space="preserve"> a instancia de parte depende principalmente de la necesidad de condicionar la represión penal de un hecho delictivo, abstractamente ofensivo de un bien merecedor de protección, a la valoración en concreto de su gravedad por parte de la persona ofendida. En estos casos, se dice, </w:t>
      </w:r>
      <w:r w:rsidR="00455603" w:rsidRPr="00C0059B">
        <w:rPr>
          <w:rFonts w:ascii="Times New Roman" w:hAnsi="Times New Roman" w:cs="Times New Roman"/>
          <w:i/>
          <w:sz w:val="22"/>
          <w:szCs w:val="22"/>
          <w:lang w:val="es-ES"/>
        </w:rPr>
        <w:t>“la perseguib</w:t>
      </w:r>
      <w:r w:rsidR="00F51B7B" w:rsidRPr="00C0059B">
        <w:rPr>
          <w:rFonts w:ascii="Times New Roman" w:hAnsi="Times New Roman" w:cs="Times New Roman"/>
          <w:i/>
          <w:sz w:val="22"/>
          <w:szCs w:val="22"/>
          <w:lang w:val="es-ES"/>
        </w:rPr>
        <w:t>ilidad a instancia de parte funciona como indicador de la concreta intolerabilidad de episodios singulares que encajan en el tipo delictivo</w:t>
      </w:r>
      <w:r w:rsidR="00F51B7B" w:rsidRPr="00C0059B">
        <w:rPr>
          <w:rFonts w:ascii="Times New Roman" w:hAnsi="Times New Roman" w:cs="Times New Roman"/>
          <w:sz w:val="22"/>
          <w:szCs w:val="22"/>
          <w:lang w:val="es-ES"/>
        </w:rPr>
        <w:t>”</w:t>
      </w:r>
      <w:r w:rsidR="00F51B7B" w:rsidRPr="00C0059B">
        <w:rPr>
          <w:rStyle w:val="Rimandonotaapidipagina"/>
          <w:rFonts w:ascii="Times New Roman" w:hAnsi="Times New Roman" w:cs="Times New Roman"/>
          <w:sz w:val="22"/>
          <w:szCs w:val="22"/>
          <w:lang w:val="es-ES"/>
        </w:rPr>
        <w:footnoteReference w:id="6"/>
      </w:r>
      <w:r w:rsidR="00F51B7B" w:rsidRPr="00C0059B">
        <w:rPr>
          <w:rFonts w:ascii="Times New Roman" w:hAnsi="Times New Roman" w:cs="Times New Roman"/>
          <w:sz w:val="22"/>
          <w:szCs w:val="22"/>
          <w:lang w:val="es-ES"/>
        </w:rPr>
        <w:t>.</w:t>
      </w:r>
    </w:p>
    <w:p w:rsidR="00F51B7B" w:rsidRPr="00C0059B" w:rsidRDefault="00F51B7B"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En relación con los delitos sexuales, sin embargo, se reconoce pacíficamente que diversa y de todo punto peculiar es la razón por la que, tanto en el código Zanardelli como en el código Rocco, se ha previsto u</w:t>
      </w:r>
      <w:r w:rsidR="00754EB1" w:rsidRPr="00C0059B">
        <w:rPr>
          <w:rFonts w:ascii="Times New Roman" w:hAnsi="Times New Roman" w:cs="Times New Roman"/>
          <w:sz w:val="22"/>
          <w:szCs w:val="22"/>
          <w:lang w:val="es-ES"/>
        </w:rPr>
        <w:t>na excepción a la perseguibilidad</w:t>
      </w:r>
      <w:r w:rsidRPr="00C0059B">
        <w:rPr>
          <w:rFonts w:ascii="Times New Roman" w:hAnsi="Times New Roman" w:cs="Times New Roman"/>
          <w:sz w:val="22"/>
          <w:szCs w:val="22"/>
          <w:lang w:val="es-ES"/>
        </w:rPr>
        <w:t xml:space="preserve"> de oficio, dejando a la víctima la decisión de recurrir o no a la justicia penal. Pese a la objetiva gravedad de estos delitos, la voluntad privada prevalece sobre el interés público en la represión del hecho</w:t>
      </w:r>
      <w:r w:rsidR="00754EB1" w:rsidRPr="00C0059B">
        <w:rPr>
          <w:rFonts w:ascii="Times New Roman" w:hAnsi="Times New Roman" w:cs="Times New Roman"/>
          <w:sz w:val="22"/>
          <w:szCs w:val="22"/>
          <w:lang w:val="es-ES"/>
        </w:rPr>
        <w:t xml:space="preserve"> porque se tiene presente el per</w:t>
      </w:r>
      <w:r w:rsidRPr="00C0059B">
        <w:rPr>
          <w:rFonts w:ascii="Times New Roman" w:hAnsi="Times New Roman" w:cs="Times New Roman"/>
          <w:sz w:val="22"/>
          <w:szCs w:val="22"/>
          <w:lang w:val="es-ES"/>
        </w:rPr>
        <w:t xml:space="preserve">juicio que se puede derivar del proceso por el llamado </w:t>
      </w:r>
      <w:r w:rsidRPr="00C0059B">
        <w:rPr>
          <w:rFonts w:ascii="Times New Roman" w:hAnsi="Times New Roman" w:cs="Times New Roman"/>
          <w:i/>
          <w:sz w:val="22"/>
          <w:szCs w:val="22"/>
          <w:lang w:val="es-ES"/>
        </w:rPr>
        <w:t>strepitus fori</w:t>
      </w:r>
      <w:r w:rsidR="008F1A19" w:rsidRPr="00C0059B">
        <w:rPr>
          <w:rFonts w:ascii="Times New Roman" w:hAnsi="Times New Roman" w:cs="Times New Roman"/>
          <w:sz w:val="22"/>
          <w:szCs w:val="22"/>
          <w:lang w:val="es-ES"/>
        </w:rPr>
        <w:t>, esto es, por los chismorreos</w:t>
      </w:r>
      <w:r w:rsidRPr="00C0059B">
        <w:rPr>
          <w:rFonts w:ascii="Times New Roman" w:hAnsi="Times New Roman" w:cs="Times New Roman"/>
          <w:sz w:val="22"/>
          <w:szCs w:val="22"/>
          <w:lang w:val="es-ES"/>
        </w:rPr>
        <w:t xml:space="preserve"> que se pueden producir una vez que lo ocurrido sea de conocimiento público. Una preocupación ya antigua y compartida en el pasado también por el Código del Reino de las Dos Sicilias y la leg</w:t>
      </w:r>
      <w:r w:rsidR="00754EB1" w:rsidRPr="00C0059B">
        <w:rPr>
          <w:rFonts w:ascii="Times New Roman" w:hAnsi="Times New Roman" w:cs="Times New Roman"/>
          <w:sz w:val="22"/>
          <w:szCs w:val="22"/>
          <w:lang w:val="es-ES"/>
        </w:rPr>
        <w:t xml:space="preserve">islación napolitana, si bien </w:t>
      </w:r>
      <w:r w:rsidRPr="00C0059B">
        <w:rPr>
          <w:rFonts w:ascii="Times New Roman" w:hAnsi="Times New Roman" w:cs="Times New Roman"/>
          <w:sz w:val="22"/>
          <w:szCs w:val="22"/>
          <w:lang w:val="es-ES"/>
        </w:rPr>
        <w:t>solo a p</w:t>
      </w:r>
      <w:r w:rsidR="00754EB1" w:rsidRPr="00C0059B">
        <w:rPr>
          <w:rFonts w:ascii="Times New Roman" w:hAnsi="Times New Roman" w:cs="Times New Roman"/>
          <w:sz w:val="22"/>
          <w:szCs w:val="22"/>
          <w:lang w:val="es-ES"/>
        </w:rPr>
        <w:t xml:space="preserve">artir del código Zanardelli </w:t>
      </w:r>
      <w:r w:rsidRPr="00C0059B">
        <w:rPr>
          <w:rFonts w:ascii="Times New Roman" w:hAnsi="Times New Roman" w:cs="Times New Roman"/>
          <w:sz w:val="22"/>
          <w:szCs w:val="22"/>
          <w:lang w:val="es-ES"/>
        </w:rPr>
        <w:t>“</w:t>
      </w:r>
      <w:r w:rsidRPr="00C0059B">
        <w:rPr>
          <w:rFonts w:ascii="Times New Roman" w:hAnsi="Times New Roman" w:cs="Times New Roman"/>
          <w:i/>
          <w:sz w:val="22"/>
          <w:szCs w:val="22"/>
          <w:lang w:val="es-ES"/>
        </w:rPr>
        <w:t>la elección de hacer prevalecer la intimidad del sujeto pasivo frente a la tutela colectiva puede considerarse una constante histórico-legislativa</w:t>
      </w:r>
      <w:r w:rsidRPr="00C0059B">
        <w:rPr>
          <w:rFonts w:ascii="Times New Roman" w:hAnsi="Times New Roman" w:cs="Times New Roman"/>
          <w:sz w:val="22"/>
          <w:szCs w:val="22"/>
          <w:lang w:val="es-ES"/>
        </w:rPr>
        <w:t>”</w:t>
      </w:r>
      <w:r w:rsidRPr="00C0059B">
        <w:rPr>
          <w:rStyle w:val="Rimandonotaapidipagina"/>
          <w:rFonts w:ascii="Times New Roman" w:hAnsi="Times New Roman" w:cs="Times New Roman"/>
          <w:sz w:val="22"/>
          <w:szCs w:val="22"/>
          <w:lang w:val="es-ES"/>
        </w:rPr>
        <w:footnoteReference w:id="7"/>
      </w:r>
      <w:r w:rsidRPr="00C0059B">
        <w:rPr>
          <w:rFonts w:ascii="Times New Roman" w:hAnsi="Times New Roman" w:cs="Times New Roman"/>
          <w:sz w:val="22"/>
          <w:szCs w:val="22"/>
          <w:lang w:val="es-ES"/>
        </w:rPr>
        <w:t xml:space="preserve">; otros códigos </w:t>
      </w:r>
      <w:r w:rsidR="00754EB1" w:rsidRPr="00C0059B">
        <w:rPr>
          <w:rFonts w:ascii="Times New Roman" w:hAnsi="Times New Roman" w:cs="Times New Roman"/>
          <w:sz w:val="22"/>
          <w:szCs w:val="22"/>
          <w:lang w:val="es-ES"/>
        </w:rPr>
        <w:t>preunitarios</w:t>
      </w:r>
      <w:r w:rsidRPr="00C0059B">
        <w:rPr>
          <w:rFonts w:ascii="Times New Roman" w:hAnsi="Times New Roman" w:cs="Times New Roman"/>
          <w:sz w:val="22"/>
          <w:szCs w:val="22"/>
          <w:lang w:val="es-ES"/>
        </w:rPr>
        <w:t>, como el código parmesano de 1820, el toscano de 1853, el de los Estados</w:t>
      </w:r>
      <w:r w:rsidR="00BE678E" w:rsidRPr="00C0059B">
        <w:rPr>
          <w:rFonts w:ascii="Times New Roman" w:hAnsi="Times New Roman" w:cs="Times New Roman"/>
          <w:sz w:val="22"/>
          <w:szCs w:val="22"/>
          <w:lang w:val="es-ES"/>
        </w:rPr>
        <w:t xml:space="preserve"> </w:t>
      </w:r>
      <w:r w:rsidR="00754EB1" w:rsidRPr="00C0059B">
        <w:rPr>
          <w:rFonts w:ascii="Times New Roman" w:hAnsi="Times New Roman" w:cs="Times New Roman"/>
          <w:sz w:val="22"/>
          <w:szCs w:val="22"/>
          <w:lang w:val="es-ES"/>
        </w:rPr>
        <w:t>estenses de</w:t>
      </w:r>
      <w:r w:rsidR="00BE678E" w:rsidRPr="00C0059B">
        <w:rPr>
          <w:rFonts w:ascii="Times New Roman" w:hAnsi="Times New Roman" w:cs="Times New Roman"/>
          <w:sz w:val="22"/>
          <w:szCs w:val="22"/>
          <w:lang w:val="es-ES"/>
        </w:rPr>
        <w:t xml:space="preserve"> 1856 y el sardo de 1859 recogían de hecho la perseguibilidad de oficio de los delitos sexuales, al menos en los casos en que el hecho se hubiera cometido empleando violencia</w:t>
      </w:r>
      <w:r w:rsidR="00BE678E" w:rsidRPr="00C0059B">
        <w:rPr>
          <w:rStyle w:val="Rimandonotaapidipagina"/>
          <w:rFonts w:ascii="Times New Roman" w:hAnsi="Times New Roman" w:cs="Times New Roman"/>
          <w:sz w:val="22"/>
          <w:szCs w:val="22"/>
          <w:lang w:val="es-ES"/>
        </w:rPr>
        <w:footnoteReference w:id="8"/>
      </w:r>
      <w:r w:rsidR="00BE678E" w:rsidRPr="00C0059B">
        <w:rPr>
          <w:rFonts w:ascii="Times New Roman" w:hAnsi="Times New Roman" w:cs="Times New Roman"/>
          <w:sz w:val="22"/>
          <w:szCs w:val="22"/>
          <w:lang w:val="es-ES"/>
        </w:rPr>
        <w:t>.</w:t>
      </w:r>
    </w:p>
    <w:p w:rsidR="00BE678E" w:rsidRPr="00C0059B" w:rsidRDefault="00754EB1"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Sin embargo, e</w:t>
      </w:r>
      <w:r w:rsidR="00BE678E" w:rsidRPr="00C0059B">
        <w:rPr>
          <w:rFonts w:ascii="Times New Roman" w:hAnsi="Times New Roman" w:cs="Times New Roman"/>
          <w:sz w:val="22"/>
          <w:szCs w:val="22"/>
          <w:lang w:val="es-ES"/>
        </w:rPr>
        <w:t>l ámbito de operatividad atribuido a la querella en este sector ha ido cambiando con el transcurso del tiempo; con base en el código penal de 1889, la tutela de la víctima frente</w:t>
      </w:r>
      <w:r w:rsidRPr="00C0059B">
        <w:rPr>
          <w:rFonts w:ascii="Times New Roman" w:hAnsi="Times New Roman" w:cs="Times New Roman"/>
          <w:sz w:val="22"/>
          <w:szCs w:val="22"/>
          <w:lang w:val="es-ES"/>
        </w:rPr>
        <w:t xml:space="preserve"> a la publicidad de la agresión,</w:t>
      </w:r>
      <w:r w:rsidR="00BE678E" w:rsidRPr="00C0059B">
        <w:rPr>
          <w:rFonts w:ascii="Times New Roman" w:hAnsi="Times New Roman" w:cs="Times New Roman"/>
          <w:sz w:val="22"/>
          <w:szCs w:val="22"/>
          <w:lang w:val="es-ES"/>
        </w:rPr>
        <w:t xml:space="preserve"> que el proceso penal habría comportado inevitablemente, desaparecía – procediéndose, por tanto, de oficio – no solo en caso de muerte de la víctima, sino también en situaciones en las que la confidencialidad del caso escapaba al control de la propia víctima, como en caso de violencia carnal cometida en lugar público o expuesto al público o bien </w:t>
      </w:r>
      <w:r w:rsidRPr="00C0059B">
        <w:rPr>
          <w:rFonts w:ascii="Times New Roman" w:hAnsi="Times New Roman" w:cs="Times New Roman"/>
          <w:sz w:val="22"/>
          <w:szCs w:val="22"/>
          <w:lang w:val="es-ES"/>
        </w:rPr>
        <w:t xml:space="preserve">en caso </w:t>
      </w:r>
      <w:r w:rsidR="00BE678E" w:rsidRPr="00C0059B">
        <w:rPr>
          <w:rFonts w:ascii="Times New Roman" w:hAnsi="Times New Roman" w:cs="Times New Roman"/>
          <w:sz w:val="22"/>
          <w:szCs w:val="22"/>
          <w:lang w:val="es-ES"/>
        </w:rPr>
        <w:t>de un delito sexual conectado con un delito perseguible de oficio (y sancionable con una pena privativa de libertad de una cierta gravedad). Por la misma razón, la retirada de la querella se consentía, sí, pero solo hasta la apert</w:t>
      </w:r>
      <w:r w:rsidRPr="00C0059B">
        <w:rPr>
          <w:rFonts w:ascii="Times New Roman" w:hAnsi="Times New Roman" w:cs="Times New Roman"/>
          <w:sz w:val="22"/>
          <w:szCs w:val="22"/>
          <w:lang w:val="es-ES"/>
        </w:rPr>
        <w:t>ura del juicio oral, superada la</w:t>
      </w:r>
      <w:r w:rsidR="00BE678E" w:rsidRPr="00C0059B">
        <w:rPr>
          <w:rFonts w:ascii="Times New Roman" w:hAnsi="Times New Roman" w:cs="Times New Roman"/>
          <w:sz w:val="22"/>
          <w:szCs w:val="22"/>
          <w:lang w:val="es-ES"/>
        </w:rPr>
        <w:t xml:space="preserve"> cual </w:t>
      </w:r>
      <w:r w:rsidRPr="00C0059B">
        <w:rPr>
          <w:rFonts w:ascii="Times New Roman" w:hAnsi="Times New Roman" w:cs="Times New Roman"/>
          <w:sz w:val="22"/>
          <w:szCs w:val="22"/>
          <w:lang w:val="es-ES"/>
        </w:rPr>
        <w:t xml:space="preserve">ya no habría podido evitarse </w:t>
      </w:r>
      <w:r w:rsidR="00BE678E" w:rsidRPr="00C0059B">
        <w:rPr>
          <w:rFonts w:ascii="Times New Roman" w:hAnsi="Times New Roman" w:cs="Times New Roman"/>
          <w:sz w:val="22"/>
          <w:szCs w:val="22"/>
          <w:lang w:val="es-ES"/>
        </w:rPr>
        <w:t xml:space="preserve">el daño derivado del </w:t>
      </w:r>
      <w:r w:rsidR="00BE678E" w:rsidRPr="00C0059B">
        <w:rPr>
          <w:rFonts w:ascii="Times New Roman" w:hAnsi="Times New Roman" w:cs="Times New Roman"/>
          <w:i/>
          <w:sz w:val="22"/>
          <w:szCs w:val="22"/>
          <w:lang w:val="es-ES"/>
        </w:rPr>
        <w:t>strepitus fori</w:t>
      </w:r>
      <w:r w:rsidR="00BE678E" w:rsidRPr="00C0059B">
        <w:rPr>
          <w:rFonts w:ascii="Times New Roman" w:hAnsi="Times New Roman" w:cs="Times New Roman"/>
          <w:sz w:val="22"/>
          <w:szCs w:val="22"/>
          <w:lang w:val="es-ES"/>
        </w:rPr>
        <w:t>.</w:t>
      </w:r>
    </w:p>
    <w:p w:rsidR="00BE678E" w:rsidRPr="00C0059B" w:rsidRDefault="004379DF"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Una ulterior hipótesis exenta de querella de parte era aquella </w:t>
      </w:r>
      <w:r w:rsidR="00754EB1" w:rsidRPr="00C0059B">
        <w:rPr>
          <w:rFonts w:ascii="Times New Roman" w:hAnsi="Times New Roman" w:cs="Times New Roman"/>
          <w:sz w:val="22"/>
          <w:szCs w:val="22"/>
          <w:lang w:val="es-ES"/>
        </w:rPr>
        <w:t>en la que autor del delito era</w:t>
      </w:r>
      <w:r w:rsidRPr="00C0059B">
        <w:rPr>
          <w:rFonts w:ascii="Times New Roman" w:hAnsi="Times New Roman" w:cs="Times New Roman"/>
          <w:sz w:val="22"/>
          <w:szCs w:val="22"/>
          <w:lang w:val="es-ES"/>
        </w:rPr>
        <w:t xml:space="preserve"> quien detentaba la patria potestad sobre el menor: una excepción que podía justificarse probablemente sobre la base de la mayor gravedad del hecho, que convertiría en inaceptable la renuncia a la persecución penal, pero también quizás por la desaparición de cualquier demanda de respeto de la voluntad de quien, pudiendo ejercer el </w:t>
      </w:r>
      <w:r w:rsidRPr="00C0059B">
        <w:rPr>
          <w:rFonts w:ascii="Times New Roman" w:hAnsi="Times New Roman" w:cs="Times New Roman"/>
          <w:sz w:val="22"/>
          <w:szCs w:val="22"/>
          <w:lang w:val="es-ES"/>
        </w:rPr>
        <w:lastRenderedPageBreak/>
        <w:t>derecho a presentar querella en cuanto progenitor de la víctima, en otras circunstancias era de hecho el custodio del honor de la familia. Una perspectiva de tutela, ésta última, que parece de todo punto coherente con la elección del legislador de la época de recoger los delitos sexuales y contra la familia en un único título – el de los “delitos contra las buenas costumbres y el orden de las familias”, considerando íntimamente conectada la lesión del honor y de la libertad sexual con los intereses del núcleo familiar – y de justificar l</w:t>
      </w:r>
      <w:r w:rsidR="00754EB1" w:rsidRPr="00C0059B">
        <w:rPr>
          <w:rFonts w:ascii="Times New Roman" w:hAnsi="Times New Roman" w:cs="Times New Roman"/>
          <w:sz w:val="22"/>
          <w:szCs w:val="22"/>
          <w:lang w:val="es-ES"/>
        </w:rPr>
        <w:t>a persegu</w:t>
      </w:r>
      <w:r w:rsidRPr="00C0059B">
        <w:rPr>
          <w:rFonts w:ascii="Times New Roman" w:hAnsi="Times New Roman" w:cs="Times New Roman"/>
          <w:sz w:val="22"/>
          <w:szCs w:val="22"/>
          <w:lang w:val="es-ES"/>
        </w:rPr>
        <w:t>ibilidad a instancia de parte de los primeros con la idea de que “</w:t>
      </w:r>
      <w:r w:rsidRPr="00C0059B">
        <w:rPr>
          <w:rFonts w:ascii="Times New Roman" w:hAnsi="Times New Roman" w:cs="Times New Roman"/>
          <w:i/>
          <w:sz w:val="22"/>
          <w:szCs w:val="22"/>
          <w:lang w:val="es-ES"/>
        </w:rPr>
        <w:t>no es un bien ni para la moral pública ni para la paz y el honor del hogar doméstico atraer con demasiada facilidad la gran luz de la justicia sobre las tergiversaciones de la vida íntima, por cuanto el ejercicio de la acción pública podría tener más desventajas que ventajas para</w:t>
      </w:r>
      <w:r w:rsidR="00754EB1" w:rsidRPr="00C0059B">
        <w:rPr>
          <w:rFonts w:ascii="Times New Roman" w:hAnsi="Times New Roman" w:cs="Times New Roman"/>
          <w:i/>
          <w:sz w:val="22"/>
          <w:szCs w:val="22"/>
          <w:lang w:val="es-ES"/>
        </w:rPr>
        <w:t xml:space="preserve"> las propias personas y familias</w:t>
      </w:r>
      <w:r w:rsidRPr="00C0059B">
        <w:rPr>
          <w:rFonts w:ascii="Times New Roman" w:hAnsi="Times New Roman" w:cs="Times New Roman"/>
          <w:i/>
          <w:sz w:val="22"/>
          <w:szCs w:val="22"/>
          <w:lang w:val="es-ES"/>
        </w:rPr>
        <w:t xml:space="preserve"> que la ley pretende proteger; y que por eso es más cauto y prudente dejar a los afectados la libertad de elegir respecto de la tutela del propio decoro</w:t>
      </w:r>
      <w:r w:rsidRPr="00C0059B">
        <w:rPr>
          <w:rFonts w:ascii="Times New Roman" w:hAnsi="Times New Roman" w:cs="Times New Roman"/>
          <w:sz w:val="22"/>
          <w:szCs w:val="22"/>
          <w:lang w:val="es-ES"/>
        </w:rPr>
        <w:t>”</w:t>
      </w:r>
      <w:r w:rsidR="00D84A1C" w:rsidRPr="00C0059B">
        <w:rPr>
          <w:rStyle w:val="Rimandonotaapidipagina"/>
          <w:rFonts w:ascii="Times New Roman" w:hAnsi="Times New Roman" w:cs="Times New Roman"/>
          <w:sz w:val="22"/>
          <w:szCs w:val="22"/>
          <w:lang w:val="es-ES"/>
        </w:rPr>
        <w:footnoteReference w:id="9"/>
      </w:r>
      <w:r w:rsidRPr="00C0059B">
        <w:rPr>
          <w:rFonts w:ascii="Times New Roman" w:hAnsi="Times New Roman" w:cs="Times New Roman"/>
          <w:sz w:val="22"/>
          <w:szCs w:val="22"/>
          <w:lang w:val="es-ES"/>
        </w:rPr>
        <w:t>.</w:t>
      </w:r>
    </w:p>
    <w:p w:rsidR="00D84A1C" w:rsidRPr="00C0059B" w:rsidRDefault="00D84A1C"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Por lo demás, una perspectiva similar fue adoptada a continuación por el código Rocco, a pesar de la distinción realizada, en consideración a la </w:t>
      </w:r>
      <w:r w:rsidRPr="00C0059B">
        <w:rPr>
          <w:rFonts w:ascii="Times New Roman" w:hAnsi="Times New Roman" w:cs="Times New Roman"/>
          <w:i/>
          <w:sz w:val="22"/>
          <w:szCs w:val="22"/>
          <w:lang w:val="es-ES"/>
        </w:rPr>
        <w:t>distinta objetividad jurídica</w:t>
      </w:r>
      <w:r w:rsidRPr="00C0059B">
        <w:rPr>
          <w:rFonts w:ascii="Times New Roman" w:hAnsi="Times New Roman" w:cs="Times New Roman"/>
          <w:sz w:val="22"/>
          <w:szCs w:val="22"/>
          <w:lang w:val="es-ES"/>
        </w:rPr>
        <w:t>, entre los delitos sexuales y los delitos contr</w:t>
      </w:r>
      <w:r w:rsidR="00754EB1" w:rsidRPr="00C0059B">
        <w:rPr>
          <w:rFonts w:ascii="Times New Roman" w:hAnsi="Times New Roman" w:cs="Times New Roman"/>
          <w:sz w:val="22"/>
          <w:szCs w:val="22"/>
          <w:lang w:val="es-ES"/>
        </w:rPr>
        <w:t>a la familia. En la hipótesis de</w:t>
      </w:r>
      <w:r w:rsidRPr="00C0059B">
        <w:rPr>
          <w:rFonts w:ascii="Times New Roman" w:hAnsi="Times New Roman" w:cs="Times New Roman"/>
          <w:sz w:val="22"/>
          <w:szCs w:val="22"/>
          <w:lang w:val="es-ES"/>
        </w:rPr>
        <w:t xml:space="preserve"> que la víctima del delito sexual fallezca antes de pres</w:t>
      </w:r>
      <w:r w:rsidR="00754EB1" w:rsidRPr="00C0059B">
        <w:rPr>
          <w:rFonts w:ascii="Times New Roman" w:hAnsi="Times New Roman" w:cs="Times New Roman"/>
          <w:sz w:val="22"/>
          <w:szCs w:val="22"/>
          <w:lang w:val="es-ES"/>
        </w:rPr>
        <w:t>entar la querella, el derecho a</w:t>
      </w:r>
      <w:r w:rsidRPr="00C0059B">
        <w:rPr>
          <w:rFonts w:ascii="Times New Roman" w:hAnsi="Times New Roman" w:cs="Times New Roman"/>
          <w:sz w:val="22"/>
          <w:szCs w:val="22"/>
          <w:lang w:val="es-ES"/>
        </w:rPr>
        <w:t xml:space="preserve"> presentar la querella se ha atribuido, de hecho, de forma totalmente excepcional, a los padres y al cón</w:t>
      </w:r>
      <w:r w:rsidR="00754EB1" w:rsidRPr="00C0059B">
        <w:rPr>
          <w:rFonts w:ascii="Times New Roman" w:hAnsi="Times New Roman" w:cs="Times New Roman"/>
          <w:sz w:val="22"/>
          <w:szCs w:val="22"/>
          <w:lang w:val="es-ES"/>
        </w:rPr>
        <w:t xml:space="preserve">yuge, siguiendo el modelo </w:t>
      </w:r>
      <w:r w:rsidRPr="00C0059B">
        <w:rPr>
          <w:rFonts w:ascii="Times New Roman" w:hAnsi="Times New Roman" w:cs="Times New Roman"/>
          <w:sz w:val="22"/>
          <w:szCs w:val="22"/>
          <w:lang w:val="es-ES"/>
        </w:rPr>
        <w:t>previsto para los delitos contra el honor en el art. 597 c.p.</w:t>
      </w:r>
      <w:r w:rsidRPr="00C0059B">
        <w:rPr>
          <w:rStyle w:val="Rimandonotaapidipagina"/>
          <w:rFonts w:ascii="Times New Roman" w:hAnsi="Times New Roman" w:cs="Times New Roman"/>
          <w:sz w:val="22"/>
          <w:szCs w:val="22"/>
          <w:lang w:val="es-ES"/>
        </w:rPr>
        <w:footnoteReference w:id="10"/>
      </w:r>
      <w:r w:rsidRPr="00C0059B">
        <w:rPr>
          <w:rFonts w:ascii="Times New Roman" w:hAnsi="Times New Roman" w:cs="Times New Roman"/>
          <w:sz w:val="22"/>
          <w:szCs w:val="22"/>
          <w:lang w:val="es-ES"/>
        </w:rPr>
        <w:t>.</w:t>
      </w:r>
    </w:p>
    <w:p w:rsidR="00D84A1C" w:rsidRPr="00C0059B" w:rsidRDefault="00D84A1C"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Por su parte, el código Rocco ha ampliado los casos en que los delitos sexuales son perseguibles de oficio, incluyendo las hipótesis en las que autor del delito sea, además del progenitor (y el tutor), el funcionario público o encargado de un servicio público, por la mayor gravedad del delito cometido por estos representantes del Estado, abusando </w:t>
      </w:r>
      <w:r w:rsidRPr="00C0059B">
        <w:rPr>
          <w:rFonts w:ascii="Times New Roman" w:hAnsi="Times New Roman" w:cs="Times New Roman"/>
          <w:i/>
          <w:sz w:val="22"/>
          <w:szCs w:val="22"/>
          <w:lang w:val="es-ES"/>
        </w:rPr>
        <w:t>de las funciones o del servicio público</w:t>
      </w:r>
      <w:r w:rsidRPr="00C0059B">
        <w:rPr>
          <w:rFonts w:ascii="Times New Roman" w:hAnsi="Times New Roman" w:cs="Times New Roman"/>
          <w:sz w:val="22"/>
          <w:szCs w:val="22"/>
          <w:lang w:val="es-ES"/>
        </w:rPr>
        <w:t xml:space="preserve">. Siguiendo la tradición del código de 1889, no obstante, no se ha previsto la </w:t>
      </w:r>
      <w:r w:rsidR="00A05B65" w:rsidRPr="00C0059B">
        <w:rPr>
          <w:rFonts w:ascii="Times New Roman" w:hAnsi="Times New Roman" w:cs="Times New Roman"/>
          <w:sz w:val="22"/>
          <w:szCs w:val="22"/>
          <w:lang w:val="es-ES"/>
        </w:rPr>
        <w:t>derogación del régimen de persegu</w:t>
      </w:r>
      <w:r w:rsidRPr="00C0059B">
        <w:rPr>
          <w:rFonts w:ascii="Times New Roman" w:hAnsi="Times New Roman" w:cs="Times New Roman"/>
          <w:sz w:val="22"/>
          <w:szCs w:val="22"/>
          <w:lang w:val="es-ES"/>
        </w:rPr>
        <w:t>ibilidad a instancia de parte para las hipótesis en que autor del delito sean “</w:t>
      </w:r>
      <w:r w:rsidRPr="00C0059B">
        <w:rPr>
          <w:rFonts w:ascii="Times New Roman" w:hAnsi="Times New Roman" w:cs="Times New Roman"/>
          <w:i/>
          <w:sz w:val="22"/>
          <w:szCs w:val="22"/>
          <w:lang w:val="es-ES"/>
        </w:rPr>
        <w:t>los abuelos, los hermanos y las hermanas, para no aumentar el escándalo doméstico</w:t>
      </w:r>
      <w:r w:rsidRPr="00C0059B">
        <w:rPr>
          <w:rFonts w:ascii="Times New Roman" w:hAnsi="Times New Roman" w:cs="Times New Roman"/>
          <w:sz w:val="22"/>
          <w:szCs w:val="22"/>
          <w:lang w:val="es-ES"/>
        </w:rPr>
        <w:t>”</w:t>
      </w:r>
      <w:r w:rsidRPr="00C0059B">
        <w:rPr>
          <w:rStyle w:val="Rimandonotaapidipagina"/>
          <w:rFonts w:ascii="Times New Roman" w:hAnsi="Times New Roman" w:cs="Times New Roman"/>
          <w:sz w:val="22"/>
          <w:szCs w:val="22"/>
          <w:lang w:val="es-ES"/>
        </w:rPr>
        <w:footnoteReference w:id="11"/>
      </w:r>
      <w:r w:rsidR="00A64A93" w:rsidRPr="00C0059B">
        <w:rPr>
          <w:rFonts w:ascii="Times New Roman" w:hAnsi="Times New Roman" w:cs="Times New Roman"/>
          <w:sz w:val="22"/>
          <w:szCs w:val="22"/>
          <w:lang w:val="es-ES"/>
        </w:rPr>
        <w:t xml:space="preserve"> causado por los delitos contra la moral pública y las buenas costumbres, entre los cuales habían sido colocados los delitos sexuales por el legislador de 1930</w:t>
      </w:r>
      <w:r w:rsidRPr="00C0059B">
        <w:rPr>
          <w:rFonts w:ascii="Times New Roman" w:hAnsi="Times New Roman" w:cs="Times New Roman"/>
          <w:sz w:val="22"/>
          <w:szCs w:val="22"/>
          <w:lang w:val="es-ES"/>
        </w:rPr>
        <w:t>.</w:t>
      </w:r>
    </w:p>
    <w:p w:rsidR="00A64A93" w:rsidRPr="00C0059B" w:rsidRDefault="00936C07"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Además, se han reducido sensiblemente los plazos de presentación de la querella (tres mese</w:t>
      </w:r>
      <w:r w:rsidR="00A05B65" w:rsidRPr="00C0059B">
        <w:rPr>
          <w:rFonts w:ascii="Times New Roman" w:hAnsi="Times New Roman" w:cs="Times New Roman"/>
          <w:sz w:val="22"/>
          <w:szCs w:val="22"/>
          <w:lang w:val="es-ES"/>
        </w:rPr>
        <w:t>s como</w:t>
      </w:r>
      <w:r w:rsidRPr="00C0059B">
        <w:rPr>
          <w:rFonts w:ascii="Times New Roman" w:hAnsi="Times New Roman" w:cs="Times New Roman"/>
          <w:sz w:val="22"/>
          <w:szCs w:val="22"/>
          <w:lang w:val="es-ES"/>
        </w:rPr>
        <w:t xml:space="preserve"> regla general, y no un año como se preveía en el código Zanardelli) y sobre todo se ha negado la posibilidad de retirarla, con el fin de prevenir “</w:t>
      </w:r>
      <w:r w:rsidRPr="00C0059B">
        <w:rPr>
          <w:rFonts w:ascii="Times New Roman" w:hAnsi="Times New Roman" w:cs="Times New Roman"/>
          <w:i/>
          <w:sz w:val="22"/>
          <w:szCs w:val="22"/>
          <w:lang w:val="es-ES"/>
        </w:rPr>
        <w:t>torpes acuerdos y audaces chantajes</w:t>
      </w:r>
      <w:r w:rsidRPr="00C0059B">
        <w:rPr>
          <w:rFonts w:ascii="Times New Roman" w:hAnsi="Times New Roman" w:cs="Times New Roman"/>
          <w:sz w:val="22"/>
          <w:szCs w:val="22"/>
          <w:lang w:val="es-ES"/>
        </w:rPr>
        <w:t>”, o bien “</w:t>
      </w:r>
      <w:r w:rsidRPr="00C0059B">
        <w:rPr>
          <w:rFonts w:ascii="Times New Roman" w:hAnsi="Times New Roman" w:cs="Times New Roman"/>
          <w:i/>
          <w:sz w:val="22"/>
          <w:szCs w:val="22"/>
          <w:lang w:val="es-ES"/>
        </w:rPr>
        <w:t>repugnantes extorsiones</w:t>
      </w:r>
      <w:r w:rsidRPr="00C0059B">
        <w:rPr>
          <w:rFonts w:ascii="Times New Roman" w:hAnsi="Times New Roman" w:cs="Times New Roman"/>
          <w:sz w:val="22"/>
          <w:szCs w:val="22"/>
          <w:lang w:val="es-ES"/>
        </w:rPr>
        <w:t>”: se aclara al respeto que “</w:t>
      </w:r>
      <w:r w:rsidRPr="00C0059B">
        <w:rPr>
          <w:rFonts w:ascii="Times New Roman" w:hAnsi="Times New Roman" w:cs="Times New Roman"/>
          <w:i/>
          <w:sz w:val="22"/>
          <w:szCs w:val="22"/>
          <w:lang w:val="es-ES"/>
        </w:rPr>
        <w:t>Este interés ético y jurídico debe prevalecer sobre el de la persona ofendida y los familiares, de ocultar el hecho; tanto más cuanto que tras hab</w:t>
      </w:r>
      <w:r w:rsidR="008F1A19" w:rsidRPr="00C0059B">
        <w:rPr>
          <w:rFonts w:ascii="Times New Roman" w:hAnsi="Times New Roman" w:cs="Times New Roman"/>
          <w:i/>
          <w:sz w:val="22"/>
          <w:szCs w:val="22"/>
          <w:lang w:val="es-ES"/>
        </w:rPr>
        <w:t>er presentado la querella, aunque</w:t>
      </w:r>
      <w:r w:rsidRPr="00C0059B">
        <w:rPr>
          <w:rFonts w:ascii="Times New Roman" w:hAnsi="Times New Roman" w:cs="Times New Roman"/>
          <w:i/>
          <w:sz w:val="22"/>
          <w:szCs w:val="22"/>
          <w:lang w:val="es-ES"/>
        </w:rPr>
        <w:t xml:space="preserve"> ésta pudiera retirarse, la ocultación sería casi siempre ilusoria</w:t>
      </w:r>
      <w:r w:rsidRPr="00C0059B">
        <w:rPr>
          <w:rFonts w:ascii="Times New Roman" w:hAnsi="Times New Roman" w:cs="Times New Roman"/>
          <w:sz w:val="22"/>
          <w:szCs w:val="22"/>
          <w:lang w:val="es-ES"/>
        </w:rPr>
        <w:t>”</w:t>
      </w:r>
      <w:r w:rsidRPr="00C0059B">
        <w:rPr>
          <w:rStyle w:val="Rimandonotaapidipagina"/>
          <w:rFonts w:ascii="Times New Roman" w:hAnsi="Times New Roman" w:cs="Times New Roman"/>
          <w:sz w:val="22"/>
          <w:szCs w:val="22"/>
          <w:lang w:val="es-ES"/>
        </w:rPr>
        <w:footnoteReference w:id="12"/>
      </w:r>
      <w:r w:rsidRPr="00C0059B">
        <w:rPr>
          <w:rFonts w:ascii="Times New Roman" w:hAnsi="Times New Roman" w:cs="Times New Roman"/>
          <w:sz w:val="22"/>
          <w:szCs w:val="22"/>
          <w:lang w:val="es-ES"/>
        </w:rPr>
        <w:t xml:space="preserve">. Estas últimas expresiones traicionan una clara </w:t>
      </w:r>
      <w:r w:rsidRPr="00C0059B">
        <w:rPr>
          <w:rFonts w:ascii="Times New Roman" w:hAnsi="Times New Roman" w:cs="Times New Roman"/>
          <w:sz w:val="22"/>
          <w:szCs w:val="22"/>
          <w:lang w:val="es-ES"/>
        </w:rPr>
        <w:lastRenderedPageBreak/>
        <w:t>preocupación más por la posible instrumentalización por parte de la víctima de su poder de influir sobre la represión penal, que por las irresistibles presiones contra ella por el autor del delito o sus familiares. Por lo demás, el propio Tribunal Constitucional, llamado a juzgar la legitimidad de esta regulación, entonces contenida en el art. 542 párrafo 2 c.p., precisa que ésta “</w:t>
      </w:r>
      <w:r w:rsidRPr="00C0059B">
        <w:rPr>
          <w:rFonts w:ascii="Times New Roman" w:hAnsi="Times New Roman" w:cs="Times New Roman"/>
          <w:i/>
          <w:sz w:val="22"/>
          <w:szCs w:val="22"/>
          <w:lang w:val="es-ES"/>
        </w:rPr>
        <w:t>encuentra su justificación en el interés público en evitar que la interposición de la acción penal pueda ser instrumentalizada, o en cualquier caso subordinada, a fines distintos de los perseguidos por el ordenamiento</w:t>
      </w:r>
      <w:r w:rsidRPr="00C0059B">
        <w:rPr>
          <w:rFonts w:ascii="Times New Roman" w:hAnsi="Times New Roman" w:cs="Times New Roman"/>
          <w:sz w:val="22"/>
          <w:szCs w:val="22"/>
          <w:lang w:val="es-ES"/>
        </w:rPr>
        <w:t>”</w:t>
      </w:r>
      <w:r w:rsidRPr="00C0059B">
        <w:rPr>
          <w:rStyle w:val="Rimandonotaapidipagina"/>
          <w:rFonts w:ascii="Times New Roman" w:hAnsi="Times New Roman" w:cs="Times New Roman"/>
          <w:sz w:val="22"/>
          <w:szCs w:val="22"/>
          <w:lang w:val="es-ES"/>
        </w:rPr>
        <w:footnoteReference w:id="13"/>
      </w:r>
      <w:r w:rsidRPr="00C0059B">
        <w:rPr>
          <w:rFonts w:ascii="Times New Roman" w:hAnsi="Times New Roman" w:cs="Times New Roman"/>
          <w:sz w:val="22"/>
          <w:szCs w:val="22"/>
          <w:lang w:val="es-ES"/>
        </w:rPr>
        <w:t>.</w:t>
      </w:r>
    </w:p>
    <w:p w:rsidR="004449A9" w:rsidRPr="00C0059B" w:rsidRDefault="002D7E39"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Como se ha señalado ya, en contra de lo esperado por una parte de la doctrina esta regulación se ha mantenido en gran parte sin cambios tras la reforma de los delitos contra la libertad sexual de 1996 que, pese a haberlos colocado entre los delitos contra la persona, se ha limitado a extender el plazo de presentación de la querella (6 meses en lugar de los habituales 3) – volviendo así a considerar oportuno conceder a la víctima un tiempo más largo de reflexión – y ha ampliado ulteriormente los casos de perseguibilidad de oficio, siguiendo una lógica no siempre coherente con las exigencias de protección de la víctima anteriormente </w:t>
      </w:r>
      <w:r w:rsidR="00A05B65" w:rsidRPr="00C0059B">
        <w:rPr>
          <w:rFonts w:ascii="Times New Roman" w:hAnsi="Times New Roman" w:cs="Times New Roman"/>
          <w:sz w:val="22"/>
          <w:szCs w:val="22"/>
          <w:lang w:val="es-ES"/>
        </w:rPr>
        <w:t>ex</w:t>
      </w:r>
      <w:r w:rsidRPr="00C0059B">
        <w:rPr>
          <w:rFonts w:ascii="Times New Roman" w:hAnsi="Times New Roman" w:cs="Times New Roman"/>
          <w:sz w:val="22"/>
          <w:szCs w:val="22"/>
          <w:lang w:val="es-ES"/>
        </w:rPr>
        <w:t>puestas. De hecho, se han sustraído a la perseguibilidad a instancia de parte todos los casos de violencia sexual realizados contra un menor de 14 años (previsión después extendida a los menores de 18 años por la ley 38/2006)</w:t>
      </w:r>
      <w:r w:rsidRPr="00C0059B">
        <w:rPr>
          <w:rStyle w:val="Rimandonotaapidipagina"/>
          <w:rFonts w:ascii="Times New Roman" w:hAnsi="Times New Roman" w:cs="Times New Roman"/>
          <w:sz w:val="22"/>
          <w:szCs w:val="22"/>
          <w:lang w:val="es-ES"/>
        </w:rPr>
        <w:footnoteReference w:id="14"/>
      </w:r>
      <w:r w:rsidRPr="00C0059B">
        <w:rPr>
          <w:rFonts w:ascii="Times New Roman" w:hAnsi="Times New Roman" w:cs="Times New Roman"/>
          <w:sz w:val="22"/>
          <w:szCs w:val="22"/>
          <w:lang w:val="es-ES"/>
        </w:rPr>
        <w:t>, con independencia de quien sea el autor, o bien contra un menor de entre 14 y 18 años si fue cometida, además de por el progenitor, incluyendo el adoptivo, o su conviviente y por el tutor, también por una persona ligada al menor por una relación de cuidado, educación, instrucción, vigilancia o custodia (previsión posteriormente extendida en 2006 a cualquier persona que mantenga con el menor una relación de convivencia). Perseguible de oficio es también la hipótesis denominada de violencia sexual presunta, en la que se llevan a cabo actos sexuales con una persona que consiente, pero menor de 10 años, además del delito de corrupción de menores (art. 609-</w:t>
      </w:r>
      <w:r w:rsidRPr="00C0059B">
        <w:rPr>
          <w:rFonts w:ascii="Times New Roman" w:hAnsi="Times New Roman" w:cs="Times New Roman"/>
          <w:i/>
          <w:sz w:val="22"/>
          <w:szCs w:val="22"/>
          <w:lang w:val="es-ES"/>
        </w:rPr>
        <w:t>quinquies</w:t>
      </w:r>
      <w:r w:rsidRPr="00C0059B">
        <w:rPr>
          <w:rFonts w:ascii="Times New Roman" w:hAnsi="Times New Roman" w:cs="Times New Roman"/>
          <w:sz w:val="22"/>
          <w:szCs w:val="22"/>
          <w:lang w:val="es-ES"/>
        </w:rPr>
        <w:t xml:space="preserve"> c.p.), originariamente perseguible a instancia de parte, y el nuevo delito de violencia sexual en grupo (art. 609-</w:t>
      </w:r>
      <w:r w:rsidRPr="00C0059B">
        <w:rPr>
          <w:rFonts w:ascii="Times New Roman" w:hAnsi="Times New Roman" w:cs="Times New Roman"/>
          <w:i/>
          <w:sz w:val="22"/>
          <w:szCs w:val="22"/>
          <w:lang w:val="es-ES"/>
        </w:rPr>
        <w:t>octies</w:t>
      </w:r>
      <w:r w:rsidRPr="00C0059B">
        <w:rPr>
          <w:rFonts w:ascii="Times New Roman" w:hAnsi="Times New Roman" w:cs="Times New Roman"/>
          <w:sz w:val="22"/>
          <w:szCs w:val="22"/>
          <w:lang w:val="es-ES"/>
        </w:rPr>
        <w:t xml:space="preserve"> c.p.).</w:t>
      </w:r>
    </w:p>
    <w:p w:rsidR="00BB1DB8" w:rsidRPr="00C0059B" w:rsidRDefault="00BB1DB8"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Aparte de esta última hipótesis – cuya </w:t>
      </w:r>
      <w:r w:rsidRPr="00C0059B">
        <w:rPr>
          <w:rFonts w:ascii="Times New Roman" w:hAnsi="Times New Roman" w:cs="Times New Roman"/>
          <w:i/>
          <w:sz w:val="22"/>
          <w:szCs w:val="22"/>
          <w:lang w:val="es-ES"/>
        </w:rPr>
        <w:t>ratio</w:t>
      </w:r>
      <w:r w:rsidRPr="00C0059B">
        <w:rPr>
          <w:rFonts w:ascii="Times New Roman" w:hAnsi="Times New Roman" w:cs="Times New Roman"/>
          <w:sz w:val="22"/>
          <w:szCs w:val="22"/>
          <w:lang w:val="es-ES"/>
        </w:rPr>
        <w:t xml:space="preserve"> sigue siendo de difícil comprensión, dentro del sistema -, es evidente que a ojos del legislador de la reforma la libertad sexual del menor está garantizada mayormente por la perseguibilidad de oficio de los delitos de los que es víctima, habiéndose considerado verosímilmente contraproducente subordinar las exigencias de descubrimiento del delito y de castigo del culpable al temor de un perjuicio para el honor propio advertido por el mismo menor o por quien está autorizado, en su lugar, a ejercer el derecho a presentar la querella de acuerdo con el art. 120 c.p. Una elección, por otra parte, perfectamente en línea con cuanto algunos años más tarde será impuesto por la Decisión marco relativa a la lucha contra la explotación sexual de los niños y la pornografía infantil, que en el art. 9 obliga a los Estados a garantizar que “</w:t>
      </w:r>
      <w:r w:rsidRPr="00C0059B">
        <w:rPr>
          <w:rFonts w:ascii="Times New Roman" w:hAnsi="Times New Roman" w:cs="Times New Roman"/>
          <w:i/>
          <w:sz w:val="22"/>
          <w:szCs w:val="22"/>
          <w:lang w:val="es-ES"/>
        </w:rPr>
        <w:t xml:space="preserve">las investigaciones o el enjuiciamiento de las infracciones a que se refiere la presente Decisión marco no estén supeditadas a la denuncia o acusación formulada por la persona que haya sido </w:t>
      </w:r>
      <w:r w:rsidRPr="00C0059B">
        <w:rPr>
          <w:rFonts w:ascii="Times New Roman" w:hAnsi="Times New Roman" w:cs="Times New Roman"/>
          <w:i/>
          <w:sz w:val="22"/>
          <w:szCs w:val="22"/>
          <w:lang w:val="es-ES"/>
        </w:rPr>
        <w:lastRenderedPageBreak/>
        <w:t>víctima de tales infracciones</w:t>
      </w:r>
      <w:r w:rsidRPr="00C0059B">
        <w:rPr>
          <w:rFonts w:ascii="Times New Roman" w:hAnsi="Times New Roman" w:cs="Times New Roman"/>
          <w:sz w:val="22"/>
          <w:szCs w:val="22"/>
          <w:lang w:val="es-ES"/>
        </w:rPr>
        <w:t>”, al menos en los casos en que el delito haya sido cometido, total o parcialmente, en el territorio del Estado miembro que procede</w:t>
      </w:r>
      <w:r w:rsidRPr="00C0059B">
        <w:rPr>
          <w:rStyle w:val="Rimandonotaapidipagina"/>
          <w:rFonts w:ascii="Times New Roman" w:hAnsi="Times New Roman" w:cs="Times New Roman"/>
          <w:sz w:val="22"/>
          <w:szCs w:val="22"/>
          <w:lang w:val="es-ES"/>
        </w:rPr>
        <w:footnoteReference w:id="15"/>
      </w:r>
      <w:r w:rsidRPr="00C0059B">
        <w:rPr>
          <w:rFonts w:ascii="Times New Roman" w:hAnsi="Times New Roman" w:cs="Times New Roman"/>
          <w:sz w:val="22"/>
          <w:szCs w:val="22"/>
          <w:lang w:val="es-ES"/>
        </w:rPr>
        <w:t>.</w:t>
      </w:r>
    </w:p>
    <w:p w:rsidR="00BB1DB8" w:rsidRPr="00C0059B" w:rsidRDefault="00BB1DB8"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En lo que respecta a las víctimas mayores de edad, por el contrario, solo ha cambiado el plazo de presentación de la querella, habiéndose rechazado tanto la propuesta de introducir la perseguibilidad </w:t>
      </w:r>
      <w:r w:rsidR="00A05B65" w:rsidRPr="00C0059B">
        <w:rPr>
          <w:rFonts w:ascii="Times New Roman" w:hAnsi="Times New Roman" w:cs="Times New Roman"/>
          <w:sz w:val="22"/>
          <w:szCs w:val="22"/>
          <w:lang w:val="es-ES"/>
        </w:rPr>
        <w:t>de oficio, inicialmente sugerida</w:t>
      </w:r>
      <w:r w:rsidRPr="00C0059B">
        <w:rPr>
          <w:rFonts w:ascii="Times New Roman" w:hAnsi="Times New Roman" w:cs="Times New Roman"/>
          <w:sz w:val="22"/>
          <w:szCs w:val="22"/>
          <w:lang w:val="es-ES"/>
        </w:rPr>
        <w:t xml:space="preserve"> por algunas organizaciones feministas para confirmar que “</w:t>
      </w:r>
      <w:r w:rsidRPr="00C0059B">
        <w:rPr>
          <w:rFonts w:ascii="Times New Roman" w:hAnsi="Times New Roman" w:cs="Times New Roman"/>
          <w:i/>
          <w:sz w:val="22"/>
          <w:szCs w:val="22"/>
          <w:lang w:val="es-ES"/>
        </w:rPr>
        <w:t xml:space="preserve">el ataque a la libertad sexual de una mujer es también un ataque contra todas las mujeres, desde siempre consideradas objetos sexuales y por tanto todas </w:t>
      </w:r>
      <w:r w:rsidR="00DC11A4" w:rsidRPr="00C0059B">
        <w:rPr>
          <w:rFonts w:ascii="Times New Roman" w:hAnsi="Times New Roman" w:cs="Times New Roman"/>
          <w:i/>
          <w:sz w:val="22"/>
          <w:szCs w:val="22"/>
          <w:lang w:val="es-ES"/>
        </w:rPr>
        <w:t xml:space="preserve">ellas </w:t>
      </w:r>
      <w:r w:rsidRPr="00C0059B">
        <w:rPr>
          <w:rFonts w:ascii="Times New Roman" w:hAnsi="Times New Roman" w:cs="Times New Roman"/>
          <w:i/>
          <w:sz w:val="22"/>
          <w:szCs w:val="22"/>
          <w:lang w:val="es-ES"/>
        </w:rPr>
        <w:t>víctimas potenciales de violación</w:t>
      </w:r>
      <w:r w:rsidRPr="00C0059B">
        <w:rPr>
          <w:rFonts w:ascii="Times New Roman" w:hAnsi="Times New Roman" w:cs="Times New Roman"/>
          <w:sz w:val="22"/>
          <w:szCs w:val="22"/>
          <w:lang w:val="es-ES"/>
        </w:rPr>
        <w:t>”</w:t>
      </w:r>
      <w:r w:rsidRPr="00C0059B">
        <w:rPr>
          <w:rStyle w:val="Rimandonotaapidipagina"/>
          <w:rFonts w:ascii="Times New Roman" w:hAnsi="Times New Roman" w:cs="Times New Roman"/>
          <w:sz w:val="22"/>
          <w:szCs w:val="22"/>
          <w:lang w:val="es-ES"/>
        </w:rPr>
        <w:footnoteReference w:id="16"/>
      </w:r>
      <w:r w:rsidR="00DC11A4" w:rsidRPr="00C0059B">
        <w:rPr>
          <w:rFonts w:ascii="Times New Roman" w:hAnsi="Times New Roman" w:cs="Times New Roman"/>
          <w:sz w:val="22"/>
          <w:szCs w:val="22"/>
          <w:lang w:val="es-ES"/>
        </w:rPr>
        <w:t>, cuanto una solución intermedia, dirigida a conciliar las exigencias de tutela con el respeto a la autodeterminación de la mujer y según la cual el delito sería perseguible de oficio pero la víctima, advertida en tiempo y forma, tendría la facultad de oponerse a la continuación del procedimiento</w:t>
      </w:r>
      <w:r w:rsidR="00DC11A4" w:rsidRPr="00C0059B">
        <w:rPr>
          <w:rStyle w:val="Rimandonotaapidipagina"/>
          <w:rFonts w:ascii="Times New Roman" w:hAnsi="Times New Roman" w:cs="Times New Roman"/>
          <w:sz w:val="22"/>
          <w:szCs w:val="22"/>
          <w:lang w:val="es-ES"/>
        </w:rPr>
        <w:footnoteReference w:id="17"/>
      </w:r>
      <w:r w:rsidR="00DC11A4" w:rsidRPr="00C0059B">
        <w:rPr>
          <w:rFonts w:ascii="Times New Roman" w:hAnsi="Times New Roman" w:cs="Times New Roman"/>
          <w:sz w:val="22"/>
          <w:szCs w:val="22"/>
          <w:lang w:val="es-ES"/>
        </w:rPr>
        <w:t>.</w:t>
      </w:r>
    </w:p>
    <w:p w:rsidR="00FF3319" w:rsidRPr="00C0059B" w:rsidRDefault="00FF3319"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Pese a la elección poco coherente de mantener la transmisibilidad del derecho a presentar la querella (único caso en el ordenamiento, además del de los delitos contra el honor), la nueva ubicación dada a los delitos sexuales ha confirmado, no obstante, el repudio de la impostación publicística de la disciplina anterior y ha contribuido a la afirmación de la naturaleza individual del bien de la libertad sexual, aquí objeto de ataque. En este contexto cambiado, la imposibilidad de retirar la querella debe ser considerada funcional a la tutela de la víctima de presiones indebidas, más que a la prevención de comportamientos oportunistas de la propia víctima como sucedía en el pasado, si bien es innegable que a estas mismas presiones indebidas se consiente un amplio margen de intervención, en el largo período a disposición para ejercer el derecho a presentar la querella.</w:t>
      </w:r>
    </w:p>
    <w:p w:rsidR="00FF3319" w:rsidRPr="00C0059B" w:rsidRDefault="00FF3319"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El mismo plazo de 6 meses para la presentación de la querella se ha previsto algunos años más tarde para el nuevo delito de actos de persecución (art. 612-</w:t>
      </w:r>
      <w:r w:rsidRPr="00C0059B">
        <w:rPr>
          <w:rFonts w:ascii="Times New Roman" w:hAnsi="Times New Roman" w:cs="Times New Roman"/>
          <w:i/>
          <w:sz w:val="22"/>
          <w:szCs w:val="22"/>
          <w:lang w:val="es-ES"/>
        </w:rPr>
        <w:t>bis</w:t>
      </w:r>
      <w:r w:rsidRPr="00C0059B">
        <w:rPr>
          <w:rFonts w:ascii="Times New Roman" w:hAnsi="Times New Roman" w:cs="Times New Roman"/>
          <w:sz w:val="22"/>
          <w:szCs w:val="22"/>
          <w:lang w:val="es-ES"/>
        </w:rPr>
        <w:t xml:space="preserve"> c.p.), para el que la derogación de la perseguibilidad de oficio parece responder a las razones tradicionalmente alegadas para los delit</w:t>
      </w:r>
      <w:r w:rsidR="008F1A19" w:rsidRPr="00C0059B">
        <w:rPr>
          <w:rFonts w:ascii="Times New Roman" w:hAnsi="Times New Roman" w:cs="Times New Roman"/>
          <w:sz w:val="22"/>
          <w:szCs w:val="22"/>
          <w:lang w:val="es-ES"/>
        </w:rPr>
        <w:t>os sexuales. Puesto</w:t>
      </w:r>
      <w:r w:rsidRPr="00C0059B">
        <w:rPr>
          <w:rFonts w:ascii="Times New Roman" w:hAnsi="Times New Roman" w:cs="Times New Roman"/>
          <w:sz w:val="22"/>
          <w:szCs w:val="22"/>
          <w:lang w:val="es-ES"/>
        </w:rPr>
        <w:t xml:space="preserve"> que el delito se realiza cuando, por medio de amenazas repetidas o molestias, se causa “un </w:t>
      </w:r>
      <w:r w:rsidRPr="00C0059B">
        <w:rPr>
          <w:rFonts w:ascii="Times New Roman" w:hAnsi="Times New Roman" w:cs="Times New Roman"/>
          <w:i/>
          <w:sz w:val="22"/>
          <w:szCs w:val="22"/>
          <w:lang w:val="es-ES"/>
        </w:rPr>
        <w:t xml:space="preserve">duradero y grave </w:t>
      </w:r>
      <w:r w:rsidRPr="00C0059B">
        <w:rPr>
          <w:rFonts w:ascii="Times New Roman" w:hAnsi="Times New Roman" w:cs="Times New Roman"/>
          <w:sz w:val="22"/>
          <w:szCs w:val="22"/>
          <w:lang w:val="es-ES"/>
        </w:rPr>
        <w:t xml:space="preserve">estado de ansiedad o de miedo” o “un </w:t>
      </w:r>
      <w:r w:rsidRPr="00C0059B">
        <w:rPr>
          <w:rFonts w:ascii="Times New Roman" w:hAnsi="Times New Roman" w:cs="Times New Roman"/>
          <w:i/>
          <w:sz w:val="22"/>
          <w:szCs w:val="22"/>
          <w:lang w:val="es-ES"/>
        </w:rPr>
        <w:t>temor fundado</w:t>
      </w:r>
      <w:r w:rsidR="00A05B65" w:rsidRPr="00C0059B">
        <w:rPr>
          <w:rFonts w:ascii="Times New Roman" w:hAnsi="Times New Roman" w:cs="Times New Roman"/>
          <w:sz w:val="22"/>
          <w:szCs w:val="22"/>
          <w:lang w:val="es-ES"/>
        </w:rPr>
        <w:t xml:space="preserve"> por la propia integridad</w:t>
      </w:r>
      <w:r w:rsidRPr="00C0059B">
        <w:rPr>
          <w:rFonts w:ascii="Times New Roman" w:hAnsi="Times New Roman" w:cs="Times New Roman"/>
          <w:sz w:val="22"/>
          <w:szCs w:val="22"/>
          <w:lang w:val="es-ES"/>
        </w:rPr>
        <w:t xml:space="preserve"> o de un pariente próximo o persona ligada al mismo por una relación afectiva” o bien se </w:t>
      </w:r>
      <w:r w:rsidRPr="00C0059B">
        <w:rPr>
          <w:rFonts w:ascii="Times New Roman" w:hAnsi="Times New Roman" w:cs="Times New Roman"/>
          <w:i/>
          <w:sz w:val="22"/>
          <w:szCs w:val="22"/>
          <w:lang w:val="es-ES"/>
        </w:rPr>
        <w:t>obliga</w:t>
      </w:r>
      <w:r w:rsidRPr="00C0059B">
        <w:rPr>
          <w:rFonts w:ascii="Times New Roman" w:hAnsi="Times New Roman" w:cs="Times New Roman"/>
          <w:sz w:val="22"/>
          <w:szCs w:val="22"/>
          <w:lang w:val="es-ES"/>
        </w:rPr>
        <w:t xml:space="preserve"> a la víctima a alterar sus hábitos de vida, lo que queda a la valoración de la víctima no puede ser la gravedad de cada hecho concreto – difícilmente negable, a la luz de los resultados descritos en la norma incriminadora – sino más bien su disposición a afrontar un proceso con todo cuanto de ello se deriva en términos de publicidad del hecho y de afectación personal</w:t>
      </w:r>
      <w:r w:rsidRPr="00C0059B">
        <w:rPr>
          <w:rStyle w:val="Rimandonotaapidipagina"/>
          <w:rFonts w:ascii="Times New Roman" w:hAnsi="Times New Roman" w:cs="Times New Roman"/>
          <w:sz w:val="22"/>
          <w:szCs w:val="22"/>
          <w:lang w:val="es-ES"/>
        </w:rPr>
        <w:footnoteReference w:id="18"/>
      </w:r>
      <w:r w:rsidR="00B27779" w:rsidRPr="00C0059B">
        <w:rPr>
          <w:rFonts w:ascii="Times New Roman" w:hAnsi="Times New Roman" w:cs="Times New Roman"/>
          <w:sz w:val="22"/>
          <w:szCs w:val="22"/>
          <w:lang w:val="es-ES"/>
        </w:rPr>
        <w:t>.</w:t>
      </w:r>
    </w:p>
    <w:p w:rsidR="00B27779" w:rsidRPr="00C0059B" w:rsidRDefault="00B27779"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lastRenderedPageBreak/>
        <w:t>En este sentido, por lo demás, apunta también la derogación de la perseguibilidad a instancia de parte prevista para los casos de conexión con otro delito perseguible de oficio; si, como afirma la jurisprudencia respecto de la previsión similar en materia de delitos sexuales</w:t>
      </w:r>
      <w:r w:rsidRPr="00C0059B">
        <w:rPr>
          <w:rStyle w:val="Rimandonotaapidipagina"/>
          <w:rFonts w:ascii="Times New Roman" w:hAnsi="Times New Roman" w:cs="Times New Roman"/>
          <w:sz w:val="22"/>
          <w:szCs w:val="22"/>
          <w:lang w:val="es-ES"/>
        </w:rPr>
        <w:footnoteReference w:id="19"/>
      </w:r>
      <w:r w:rsidRPr="00C0059B">
        <w:rPr>
          <w:rFonts w:ascii="Times New Roman" w:hAnsi="Times New Roman" w:cs="Times New Roman"/>
          <w:sz w:val="22"/>
          <w:szCs w:val="22"/>
          <w:lang w:val="es-ES"/>
        </w:rPr>
        <w:t xml:space="preserve">, la conexión debe ser considerada no tanto en sentido técnico cuando más bien en el sentido de una relación de investigación entre los dos delitos, es obligado ver la </w:t>
      </w:r>
      <w:r w:rsidRPr="00C0059B">
        <w:rPr>
          <w:rFonts w:ascii="Times New Roman" w:hAnsi="Times New Roman" w:cs="Times New Roman"/>
          <w:i/>
          <w:sz w:val="22"/>
          <w:szCs w:val="22"/>
          <w:lang w:val="es-ES"/>
        </w:rPr>
        <w:t>ratio</w:t>
      </w:r>
      <w:r w:rsidRPr="00C0059B">
        <w:rPr>
          <w:rFonts w:ascii="Times New Roman" w:hAnsi="Times New Roman" w:cs="Times New Roman"/>
          <w:sz w:val="22"/>
          <w:szCs w:val="22"/>
          <w:lang w:val="es-ES"/>
        </w:rPr>
        <w:t xml:space="preserve"> de la perseguibilidad a instancia de parte también de este delito en la tutela de la intimidad de la víctima, que podría verse perjudicada por el </w:t>
      </w:r>
      <w:r w:rsidRPr="00C0059B">
        <w:rPr>
          <w:rFonts w:ascii="Times New Roman" w:hAnsi="Times New Roman" w:cs="Times New Roman"/>
          <w:i/>
          <w:sz w:val="22"/>
          <w:szCs w:val="22"/>
          <w:lang w:val="es-ES"/>
        </w:rPr>
        <w:t>strepitus fori</w:t>
      </w:r>
      <w:r w:rsidRPr="00C0059B">
        <w:rPr>
          <w:rFonts w:ascii="Times New Roman" w:hAnsi="Times New Roman" w:cs="Times New Roman"/>
          <w:sz w:val="22"/>
          <w:szCs w:val="22"/>
          <w:lang w:val="es-ES"/>
        </w:rPr>
        <w:t xml:space="preserve"> relacionado con la publicidad del proceso.</w:t>
      </w:r>
    </w:p>
    <w:p w:rsidR="00AA67B0" w:rsidRPr="00C0059B" w:rsidRDefault="00AA67B0"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Análogamente a cuanto se ha visto para la violencia sexual, los actos de persecución son perseguibles de oficio si se cometen contra un menor (o persona discapacitada): una</w:t>
      </w:r>
      <w:r w:rsidR="00073A32" w:rsidRPr="00C0059B">
        <w:rPr>
          <w:rFonts w:ascii="Times New Roman" w:hAnsi="Times New Roman" w:cs="Times New Roman"/>
          <w:sz w:val="22"/>
          <w:szCs w:val="22"/>
          <w:lang w:val="es-ES"/>
        </w:rPr>
        <w:t xml:space="preserve"> solución sin duda inspirada en</w:t>
      </w:r>
      <w:r w:rsidRPr="00C0059B">
        <w:rPr>
          <w:rFonts w:ascii="Times New Roman" w:hAnsi="Times New Roman" w:cs="Times New Roman"/>
          <w:sz w:val="22"/>
          <w:szCs w:val="22"/>
          <w:lang w:val="es-ES"/>
        </w:rPr>
        <w:t xml:space="preserve"> la mayor gravedad del hecho, que no permitiría aceptar condicionamientos de la perseguibilidad penal, y probablemente dirigida también a armonizar, desde esta perspectiva, la regulación del nuevo delito con la de los delitos sexuales que, como se ha visto, está en línea con lo impuesto por la Decisión Marco del Consejo de 22 de diciembre de 2003, relativa a la lucha contra la explotación sexual de los niños y la pornografía infantil</w:t>
      </w:r>
      <w:r w:rsidRPr="00C0059B">
        <w:rPr>
          <w:rStyle w:val="Rimandonotaapidipagina"/>
          <w:rFonts w:ascii="Times New Roman" w:hAnsi="Times New Roman" w:cs="Times New Roman"/>
          <w:sz w:val="22"/>
          <w:szCs w:val="22"/>
          <w:lang w:val="es-ES"/>
        </w:rPr>
        <w:footnoteReference w:id="20"/>
      </w:r>
      <w:r w:rsidR="00BC0B51" w:rsidRPr="00C0059B">
        <w:rPr>
          <w:rFonts w:ascii="Times New Roman" w:hAnsi="Times New Roman" w:cs="Times New Roman"/>
          <w:sz w:val="22"/>
          <w:szCs w:val="22"/>
          <w:lang w:val="es-ES"/>
        </w:rPr>
        <w:t>.</w:t>
      </w:r>
    </w:p>
    <w:p w:rsidR="00BC0B51" w:rsidRPr="00C0059B" w:rsidRDefault="00BC0B51"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La querella presentada por el delito de actos de persecución no era originariamente de imposible retirada, permitiendo así que la víctima, “</w:t>
      </w:r>
      <w:r w:rsidRPr="00C0059B">
        <w:rPr>
          <w:rFonts w:ascii="Times New Roman" w:hAnsi="Times New Roman" w:cs="Times New Roman"/>
          <w:i/>
          <w:sz w:val="22"/>
          <w:szCs w:val="22"/>
          <w:lang w:val="es-ES"/>
        </w:rPr>
        <w:t>cada vez más débil frente a una suerte de progresión criminal llevada a cabo por el agente perseguidor</w:t>
      </w:r>
      <w:r w:rsidRPr="00C0059B">
        <w:rPr>
          <w:rFonts w:ascii="Times New Roman" w:hAnsi="Times New Roman" w:cs="Times New Roman"/>
          <w:sz w:val="22"/>
          <w:szCs w:val="22"/>
          <w:lang w:val="es-ES"/>
        </w:rPr>
        <w:t>”, se expusiera “</w:t>
      </w:r>
      <w:r w:rsidRPr="00C0059B">
        <w:rPr>
          <w:rFonts w:ascii="Times New Roman" w:hAnsi="Times New Roman" w:cs="Times New Roman"/>
          <w:i/>
          <w:sz w:val="22"/>
          <w:szCs w:val="22"/>
          <w:lang w:val="es-ES"/>
        </w:rPr>
        <w:t>a posibles presiones y/o chantajes orientados a la retirada de la querella y por tanto a la sustancial impunidad procesal del reo</w:t>
      </w:r>
      <w:r w:rsidRPr="00C0059B">
        <w:rPr>
          <w:rFonts w:ascii="Times New Roman" w:hAnsi="Times New Roman" w:cs="Times New Roman"/>
          <w:sz w:val="22"/>
          <w:szCs w:val="22"/>
          <w:lang w:val="es-ES"/>
        </w:rPr>
        <w:t xml:space="preserve">”. Así se expresaba, en su dictamen sobre el decreto ley que introducía el delito de </w:t>
      </w:r>
      <w:r w:rsidRPr="00C0059B">
        <w:rPr>
          <w:rFonts w:ascii="Times New Roman" w:hAnsi="Times New Roman" w:cs="Times New Roman"/>
          <w:i/>
          <w:sz w:val="22"/>
          <w:szCs w:val="22"/>
          <w:lang w:val="es-ES"/>
        </w:rPr>
        <w:t>stalking</w:t>
      </w:r>
      <w:r w:rsidRPr="00C0059B">
        <w:rPr>
          <w:rFonts w:ascii="Times New Roman" w:hAnsi="Times New Roman" w:cs="Times New Roman"/>
          <w:sz w:val="22"/>
          <w:szCs w:val="22"/>
          <w:lang w:val="es-ES"/>
        </w:rPr>
        <w:t>, el Consejo Superior de la Magistratura, según el cual “</w:t>
      </w:r>
      <w:r w:rsidRPr="00C0059B">
        <w:rPr>
          <w:rFonts w:ascii="Times New Roman" w:hAnsi="Times New Roman" w:cs="Times New Roman"/>
          <w:i/>
          <w:sz w:val="22"/>
          <w:szCs w:val="22"/>
          <w:lang w:val="es-ES"/>
        </w:rPr>
        <w:t>La experiencia judicial – consolidada en el tratamiento de delitos perseguibles de oficio como los malos tratos en el ámbito familiar o perseguibles mediante querella de imposible retirada como la violenci</w:t>
      </w:r>
      <w:r w:rsidR="005A5E1F" w:rsidRPr="00C0059B">
        <w:rPr>
          <w:rFonts w:ascii="Times New Roman" w:hAnsi="Times New Roman" w:cs="Times New Roman"/>
          <w:i/>
          <w:sz w:val="22"/>
          <w:szCs w:val="22"/>
          <w:lang w:val="es-ES"/>
        </w:rPr>
        <w:t>a sexual – nos ense</w:t>
      </w:r>
      <w:r w:rsidRPr="00C0059B">
        <w:rPr>
          <w:rFonts w:ascii="Times New Roman" w:hAnsi="Times New Roman" w:cs="Times New Roman"/>
          <w:i/>
          <w:sz w:val="22"/>
          <w:szCs w:val="22"/>
          <w:lang w:val="es-ES"/>
        </w:rPr>
        <w:t xml:space="preserve">ña justamente que la mujer, normalmente víctima de estas situaciones, a menudo se ve sometida a intentos, más o menos directos, dirigidos a la retirada de la denuncia pese a la protección de la perseguibilidad irreversible. En el caso del </w:t>
      </w:r>
      <w:r w:rsidRPr="00C0059B">
        <w:rPr>
          <w:rFonts w:ascii="Times New Roman" w:hAnsi="Times New Roman" w:cs="Times New Roman"/>
          <w:sz w:val="22"/>
          <w:szCs w:val="22"/>
          <w:lang w:val="es-ES"/>
        </w:rPr>
        <w:t>stalking</w:t>
      </w:r>
      <w:r w:rsidRPr="00C0059B">
        <w:rPr>
          <w:rFonts w:ascii="Times New Roman" w:hAnsi="Times New Roman" w:cs="Times New Roman"/>
          <w:i/>
          <w:sz w:val="22"/>
          <w:szCs w:val="22"/>
          <w:lang w:val="es-ES"/>
        </w:rPr>
        <w:t xml:space="preserve"> es fácil prever que, </w:t>
      </w:r>
      <w:r w:rsidR="005A5E1F" w:rsidRPr="00C0059B">
        <w:rPr>
          <w:rFonts w:ascii="Times New Roman" w:hAnsi="Times New Roman" w:cs="Times New Roman"/>
          <w:i/>
          <w:sz w:val="22"/>
          <w:szCs w:val="22"/>
          <w:lang w:val="es-ES"/>
        </w:rPr>
        <w:t>precisamente en ausencia de tal protección procesal, la víctima puede ser objeto de actividades todavía más invasivas que tengan como fin último la renuncia a la instancia punitiva</w:t>
      </w:r>
      <w:r w:rsidR="005A5E1F" w:rsidRPr="00C0059B">
        <w:rPr>
          <w:rFonts w:ascii="Times New Roman" w:hAnsi="Times New Roman" w:cs="Times New Roman"/>
          <w:sz w:val="22"/>
          <w:szCs w:val="22"/>
          <w:lang w:val="es-ES"/>
        </w:rPr>
        <w:t>”</w:t>
      </w:r>
      <w:r w:rsidR="005A5E1F" w:rsidRPr="00C0059B">
        <w:rPr>
          <w:rStyle w:val="Rimandonotaapidipagina"/>
          <w:rFonts w:ascii="Times New Roman" w:hAnsi="Times New Roman" w:cs="Times New Roman"/>
          <w:sz w:val="22"/>
          <w:szCs w:val="22"/>
          <w:lang w:val="es-ES"/>
        </w:rPr>
        <w:footnoteReference w:id="21"/>
      </w:r>
      <w:r w:rsidR="005A5E1F" w:rsidRPr="00C0059B">
        <w:rPr>
          <w:rFonts w:ascii="Times New Roman" w:hAnsi="Times New Roman" w:cs="Times New Roman"/>
          <w:sz w:val="22"/>
          <w:szCs w:val="22"/>
          <w:lang w:val="es-ES"/>
        </w:rPr>
        <w:t>.</w:t>
      </w:r>
    </w:p>
    <w:p w:rsidR="005A5E1F" w:rsidRPr="00C0059B" w:rsidRDefault="005A5E1F"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Se señalaba además cómo la falta de previsión de la imposibilidad de renunciar a la querella suscitaba también “</w:t>
      </w:r>
      <w:r w:rsidRPr="00C0059B">
        <w:rPr>
          <w:rFonts w:ascii="Times New Roman" w:hAnsi="Times New Roman" w:cs="Times New Roman"/>
          <w:i/>
          <w:sz w:val="22"/>
          <w:szCs w:val="22"/>
          <w:lang w:val="es-ES"/>
        </w:rPr>
        <w:t>cierta perplejidad, desde la perspectiva de la coherencia sistemática</w:t>
      </w:r>
      <w:r w:rsidRPr="00C0059B">
        <w:rPr>
          <w:rFonts w:ascii="Times New Roman" w:hAnsi="Times New Roman" w:cs="Times New Roman"/>
          <w:sz w:val="22"/>
          <w:szCs w:val="22"/>
          <w:lang w:val="es-ES"/>
        </w:rPr>
        <w:t>”, puesto que, permitiéndose la adopción de medidas co</w:t>
      </w:r>
      <w:r w:rsidR="00073A32" w:rsidRPr="00C0059B">
        <w:rPr>
          <w:rFonts w:ascii="Times New Roman" w:hAnsi="Times New Roman" w:cs="Times New Roman"/>
          <w:sz w:val="22"/>
          <w:szCs w:val="22"/>
          <w:lang w:val="es-ES"/>
        </w:rPr>
        <w:t>ercitivas a cargo de quien fuese</w:t>
      </w:r>
      <w:r w:rsidRPr="00C0059B">
        <w:rPr>
          <w:rFonts w:ascii="Times New Roman" w:hAnsi="Times New Roman" w:cs="Times New Roman"/>
          <w:sz w:val="22"/>
          <w:szCs w:val="22"/>
          <w:lang w:val="es-ES"/>
        </w:rPr>
        <w:t xml:space="preserve"> el querellado por el delito objeto de examen, se terminaba por atribuir a la parte ofendida un poder “</w:t>
      </w:r>
      <w:r w:rsidRPr="00C0059B">
        <w:rPr>
          <w:rFonts w:ascii="Times New Roman" w:hAnsi="Times New Roman" w:cs="Times New Roman"/>
          <w:i/>
          <w:sz w:val="22"/>
          <w:szCs w:val="22"/>
          <w:lang w:val="es-ES"/>
        </w:rPr>
        <w:t>que no encuentra parangón en el ordenamiento penal</w:t>
      </w:r>
      <w:r w:rsidRPr="00C0059B">
        <w:rPr>
          <w:rFonts w:ascii="Times New Roman" w:hAnsi="Times New Roman" w:cs="Times New Roman"/>
          <w:sz w:val="22"/>
          <w:szCs w:val="22"/>
          <w:lang w:val="es-ES"/>
        </w:rPr>
        <w:t>”</w:t>
      </w:r>
      <w:r w:rsidRPr="00C0059B">
        <w:rPr>
          <w:rStyle w:val="Rimandonotaapidipagina"/>
          <w:rFonts w:ascii="Times New Roman" w:hAnsi="Times New Roman" w:cs="Times New Roman"/>
          <w:sz w:val="22"/>
          <w:szCs w:val="22"/>
          <w:lang w:val="es-ES"/>
        </w:rPr>
        <w:footnoteReference w:id="22"/>
      </w:r>
      <w:r w:rsidRPr="00C0059B">
        <w:rPr>
          <w:rFonts w:ascii="Times New Roman" w:hAnsi="Times New Roman" w:cs="Times New Roman"/>
          <w:sz w:val="22"/>
          <w:szCs w:val="22"/>
          <w:lang w:val="es-ES"/>
        </w:rPr>
        <w:t xml:space="preserve">, </w:t>
      </w:r>
      <w:r w:rsidRPr="00C0059B">
        <w:rPr>
          <w:rFonts w:ascii="Times New Roman" w:hAnsi="Times New Roman" w:cs="Times New Roman"/>
          <w:sz w:val="22"/>
          <w:szCs w:val="22"/>
          <w:lang w:val="es-ES"/>
        </w:rPr>
        <w:lastRenderedPageBreak/>
        <w:t>pudiendo determinar la conclusión del procedimiento penal, a través de la retirada de la querella, una vez que el imputado ha sufrido un período de prisión preventiva.</w:t>
      </w:r>
    </w:p>
    <w:p w:rsidR="005A5E1F" w:rsidRPr="00C0059B" w:rsidRDefault="005A5E1F"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Como se ha dicho anteriormente, el decreto-ley de 14 de agosto de 2013 n. 93 ha intentado poner fin a esta (grave) anomalía del sistema – y proteger al mismo tiempo a la víctima de las posibles presiones del querellado – introduciendo la previsión de la imposibilidad de retirada de la querella. Una solución que, sin embargo, ha topado con numerosas resistencias, hasta el punto de ser modificada, en sede de conversión, por la ley 119 de 2013 con una soluci</w:t>
      </w:r>
      <w:r w:rsidR="00073A32" w:rsidRPr="00C0059B">
        <w:rPr>
          <w:rFonts w:ascii="Times New Roman" w:hAnsi="Times New Roman" w:cs="Times New Roman"/>
          <w:sz w:val="22"/>
          <w:szCs w:val="22"/>
          <w:lang w:val="es-ES"/>
        </w:rPr>
        <w:t>ón de compromiso</w:t>
      </w:r>
      <w:r w:rsidR="008F1A19" w:rsidRPr="00C0059B">
        <w:rPr>
          <w:rFonts w:ascii="Times New Roman" w:hAnsi="Times New Roman" w:cs="Times New Roman"/>
          <w:sz w:val="22"/>
          <w:szCs w:val="22"/>
          <w:lang w:val="es-ES"/>
        </w:rPr>
        <w:t>: de nuevo se permite la retirad</w:t>
      </w:r>
      <w:r w:rsidR="00073A32" w:rsidRPr="00C0059B">
        <w:rPr>
          <w:rFonts w:ascii="Times New Roman" w:hAnsi="Times New Roman" w:cs="Times New Roman"/>
          <w:sz w:val="22"/>
          <w:szCs w:val="22"/>
          <w:lang w:val="es-ES"/>
        </w:rPr>
        <w:t xml:space="preserve">a </w:t>
      </w:r>
      <w:r w:rsidRPr="00C0059B">
        <w:rPr>
          <w:rFonts w:ascii="Times New Roman" w:hAnsi="Times New Roman" w:cs="Times New Roman"/>
          <w:sz w:val="22"/>
          <w:szCs w:val="22"/>
          <w:lang w:val="es-ES"/>
        </w:rPr>
        <w:t xml:space="preserve">como regla general, pero debe tener lugar en sede procesal, esto es, en presencia de la autoridad judicial; la </w:t>
      </w:r>
      <w:r w:rsidR="008F1A19" w:rsidRPr="00C0059B">
        <w:rPr>
          <w:rFonts w:ascii="Times New Roman" w:hAnsi="Times New Roman" w:cs="Times New Roman"/>
          <w:sz w:val="22"/>
          <w:szCs w:val="22"/>
          <w:lang w:val="es-ES"/>
        </w:rPr>
        <w:t>querella, sin embargo, no puede retirarse</w:t>
      </w:r>
      <w:r w:rsidR="005C5252" w:rsidRPr="00C0059B">
        <w:rPr>
          <w:rFonts w:ascii="Times New Roman" w:hAnsi="Times New Roman" w:cs="Times New Roman"/>
          <w:sz w:val="22"/>
          <w:szCs w:val="22"/>
          <w:lang w:val="es-ES"/>
        </w:rPr>
        <w:t xml:space="preserve"> cuando el hecho haya sido cometido “mediante amenazas reiteradas en las formas descritas por el art. 612 segundo párrafo” (esto es, con armas, por persona usando disfraz o por varias personas reunidas o con escrito anónimo o de modo simbólico o valiéndose de la intimidación derivada de asociaciones secretas, existentes o supuestas, o bien mediante el lanzamiento o la utilización de objetos contundentes o de otros objetos peligrosos, incluidos los artículos pirotécnicos, creando peligro para las personas).</w:t>
      </w:r>
      <w:r w:rsidR="008F1A19" w:rsidRPr="00C0059B">
        <w:rPr>
          <w:rFonts w:ascii="Times New Roman" w:hAnsi="Times New Roman" w:cs="Times New Roman"/>
          <w:sz w:val="22"/>
          <w:szCs w:val="22"/>
          <w:lang w:val="es-ES"/>
        </w:rPr>
        <w:t xml:space="preserve"> Son situaciones, éstas últimas, en las que, por otra parte, el delito de amenazas es perseguible de oficio, y no a instancia de parte, que es la regla general.</w:t>
      </w:r>
    </w:p>
    <w:p w:rsidR="005C5252" w:rsidRPr="00C0059B" w:rsidRDefault="005C5252"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Solo la experiencia práctica permitirá evaluar el alcance efectivo de estas limitaci</w:t>
      </w:r>
      <w:r w:rsidR="008F1A19" w:rsidRPr="00C0059B">
        <w:rPr>
          <w:rFonts w:ascii="Times New Roman" w:hAnsi="Times New Roman" w:cs="Times New Roman"/>
          <w:sz w:val="22"/>
          <w:szCs w:val="22"/>
          <w:lang w:val="es-ES"/>
        </w:rPr>
        <w:t>ones a la posibilidad de retir</w:t>
      </w:r>
      <w:r w:rsidRPr="00C0059B">
        <w:rPr>
          <w:rFonts w:ascii="Times New Roman" w:hAnsi="Times New Roman" w:cs="Times New Roman"/>
          <w:sz w:val="22"/>
          <w:szCs w:val="22"/>
          <w:lang w:val="es-ES"/>
        </w:rPr>
        <w:t>ar a la querella, sea con base en la frecuenci</w:t>
      </w:r>
      <w:r w:rsidR="008F1A19" w:rsidRPr="00C0059B">
        <w:rPr>
          <w:rFonts w:ascii="Times New Roman" w:hAnsi="Times New Roman" w:cs="Times New Roman"/>
          <w:sz w:val="22"/>
          <w:szCs w:val="22"/>
          <w:lang w:val="es-ES"/>
        </w:rPr>
        <w:t>a de las retirad</w:t>
      </w:r>
      <w:r w:rsidRPr="00C0059B">
        <w:rPr>
          <w:rFonts w:ascii="Times New Roman" w:hAnsi="Times New Roman" w:cs="Times New Roman"/>
          <w:sz w:val="22"/>
          <w:szCs w:val="22"/>
          <w:lang w:val="es-ES"/>
        </w:rPr>
        <w:t>as procesales – y en su efectivo sometimiento a la valoración del juez</w:t>
      </w:r>
      <w:r w:rsidRPr="00C0059B">
        <w:rPr>
          <w:rStyle w:val="Rimandonotaapidipagina"/>
          <w:rFonts w:ascii="Times New Roman" w:hAnsi="Times New Roman" w:cs="Times New Roman"/>
          <w:sz w:val="22"/>
          <w:szCs w:val="22"/>
          <w:lang w:val="es-ES"/>
        </w:rPr>
        <w:footnoteReference w:id="23"/>
      </w:r>
      <w:r w:rsidRPr="00C0059B">
        <w:rPr>
          <w:rFonts w:ascii="Times New Roman" w:hAnsi="Times New Roman" w:cs="Times New Roman"/>
          <w:sz w:val="22"/>
          <w:szCs w:val="22"/>
          <w:lang w:val="es-ES"/>
        </w:rPr>
        <w:t xml:space="preserve"> -, sea con base en el porcentaje de casos en los que las amenazas reiteradas se realizan con las modalidades graves indicadas por la ley, hasta el punto de convertir la</w:t>
      </w:r>
      <w:r w:rsidR="008F1A19" w:rsidRPr="00C0059B">
        <w:rPr>
          <w:rFonts w:ascii="Times New Roman" w:hAnsi="Times New Roman" w:cs="Times New Roman"/>
          <w:sz w:val="22"/>
          <w:szCs w:val="22"/>
          <w:lang w:val="es-ES"/>
        </w:rPr>
        <w:t xml:space="preserve"> querella en irrevoc</w:t>
      </w:r>
      <w:r w:rsidRPr="00C0059B">
        <w:rPr>
          <w:rFonts w:ascii="Times New Roman" w:hAnsi="Times New Roman" w:cs="Times New Roman"/>
          <w:sz w:val="22"/>
          <w:szCs w:val="22"/>
          <w:lang w:val="es-ES"/>
        </w:rPr>
        <w:t>able. Cierto es que, si bien desde el punto de vista normativo la disciplina prevista para el delito de actos de persecución no coincide con la de los delitos sexuales, común a ambos delitos es la razón por la cual se ha considerado oportuno derogar la perseguibilidad de oficio: la tutela de la intimidad de la víctima, que a su pesar podría encontrarse con más molestias que beneficios cuando el asunto fuese objeto de un procedimiento penal, con todo lo que esto necesariamente comporta en términos de publicidad, más o menos amplia según los casos, del asunto mismo. Se trata de una motivación que evidentemente tiene en cuenta, por un lado, la existencia de un contexto cultural (e institucional) machista y discriminatorio, para el cual es la mujer quien tiene que sentirse avergonzada y a menudo incluso culpable</w:t>
      </w:r>
      <w:r w:rsidR="00073A32" w:rsidRPr="00C0059B">
        <w:rPr>
          <w:rFonts w:ascii="Times New Roman" w:hAnsi="Times New Roman" w:cs="Times New Roman"/>
          <w:sz w:val="22"/>
          <w:szCs w:val="22"/>
          <w:lang w:val="es-ES"/>
        </w:rPr>
        <w:t xml:space="preserve"> por la violencia sufrida y, por otro lado, por</w:t>
      </w:r>
      <w:r w:rsidRPr="00C0059B">
        <w:rPr>
          <w:rFonts w:ascii="Times New Roman" w:hAnsi="Times New Roman" w:cs="Times New Roman"/>
          <w:sz w:val="22"/>
          <w:szCs w:val="22"/>
          <w:lang w:val="es-ES"/>
        </w:rPr>
        <w:t xml:space="preserve"> la incapacidad del sistema de imponer el respeto a la mujer y a su intimidad, no solo fuera sino también dentro de las salas de justicia.</w:t>
      </w:r>
    </w:p>
    <w:p w:rsidR="005C5252" w:rsidRPr="00C0059B" w:rsidRDefault="005C5252"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Por otra parte, difícilmente la elección de la perseguibilidad a instancia de parte para tales delitos habría podido justificarse de otro modo: la desproporción de fuerzas entre autor y víctima, que ya se deriva del hecho de que las víctimas de la violencia sexual y de los actos de persecución son prevalentemente las mujeres, lleva a reconducir estos casos a aquellos en los que, como se ha observado, “</w:t>
      </w:r>
      <w:r w:rsidR="00073A32" w:rsidRPr="00C0059B">
        <w:rPr>
          <w:rFonts w:ascii="Times New Roman" w:hAnsi="Times New Roman" w:cs="Times New Roman"/>
          <w:i/>
          <w:sz w:val="22"/>
          <w:szCs w:val="22"/>
          <w:lang w:val="es-ES"/>
        </w:rPr>
        <w:t xml:space="preserve">la querella sería un </w:t>
      </w:r>
      <w:r w:rsidR="00073A32" w:rsidRPr="00C0059B">
        <w:rPr>
          <w:rFonts w:ascii="Times New Roman" w:hAnsi="Times New Roman" w:cs="Times New Roman"/>
          <w:i/>
          <w:sz w:val="22"/>
          <w:szCs w:val="22"/>
          <w:lang w:val="es-ES"/>
        </w:rPr>
        <w:lastRenderedPageBreak/>
        <w:t>arma sin filo</w:t>
      </w:r>
      <w:r w:rsidRPr="00C0059B">
        <w:rPr>
          <w:rFonts w:ascii="Times New Roman" w:hAnsi="Times New Roman" w:cs="Times New Roman"/>
          <w:i/>
          <w:sz w:val="22"/>
          <w:szCs w:val="22"/>
          <w:lang w:val="es-ES"/>
        </w:rPr>
        <w:t xml:space="preserve"> por la presión intimidatoria del autor sobre la víctima</w:t>
      </w:r>
      <w:r w:rsidRPr="00C0059B">
        <w:rPr>
          <w:rFonts w:ascii="Times New Roman" w:hAnsi="Times New Roman" w:cs="Times New Roman"/>
          <w:sz w:val="22"/>
          <w:szCs w:val="22"/>
          <w:lang w:val="es-ES"/>
        </w:rPr>
        <w:t>”</w:t>
      </w:r>
      <w:r w:rsidRPr="00C0059B">
        <w:rPr>
          <w:rStyle w:val="Rimandonotaapidipagina"/>
          <w:rFonts w:ascii="Times New Roman" w:hAnsi="Times New Roman" w:cs="Times New Roman"/>
          <w:sz w:val="22"/>
          <w:szCs w:val="22"/>
          <w:lang w:val="es-ES"/>
        </w:rPr>
        <w:footnoteReference w:id="24"/>
      </w:r>
      <w:r w:rsidR="00084751" w:rsidRPr="00C0059B">
        <w:rPr>
          <w:rFonts w:ascii="Times New Roman" w:hAnsi="Times New Roman" w:cs="Times New Roman"/>
          <w:sz w:val="22"/>
          <w:szCs w:val="22"/>
          <w:lang w:val="es-ES"/>
        </w:rPr>
        <w:t>, así</w:t>
      </w:r>
      <w:r w:rsidR="003874AA" w:rsidRPr="00C0059B">
        <w:rPr>
          <w:rFonts w:ascii="Times New Roman" w:hAnsi="Times New Roman" w:cs="Times New Roman"/>
          <w:sz w:val="22"/>
          <w:szCs w:val="22"/>
          <w:lang w:val="es-ES"/>
        </w:rPr>
        <w:t xml:space="preserve"> que no podría reconocérsele ninguna legitimación en el plano político-criminal.</w:t>
      </w:r>
    </w:p>
    <w:p w:rsidR="003874AA" w:rsidRPr="00C0059B" w:rsidRDefault="003874AA" w:rsidP="00CA7749">
      <w:pPr>
        <w:spacing w:line="360" w:lineRule="auto"/>
        <w:ind w:left="-567" w:right="-568" w:firstLine="284"/>
        <w:jc w:val="both"/>
        <w:rPr>
          <w:rFonts w:ascii="Times New Roman" w:hAnsi="Times New Roman" w:cs="Times New Roman"/>
          <w:sz w:val="22"/>
          <w:szCs w:val="22"/>
          <w:lang w:val="es-ES"/>
        </w:rPr>
      </w:pPr>
    </w:p>
    <w:p w:rsidR="003874AA" w:rsidRPr="00C0059B" w:rsidRDefault="003874AA"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b/>
          <w:sz w:val="22"/>
          <w:szCs w:val="22"/>
          <w:lang w:val="es-ES"/>
        </w:rPr>
        <w:t>3. Una mirada a las víctimas</w:t>
      </w:r>
      <w:r w:rsidRPr="00C0059B">
        <w:rPr>
          <w:rFonts w:ascii="Times New Roman" w:hAnsi="Times New Roman" w:cs="Times New Roman"/>
          <w:sz w:val="22"/>
          <w:szCs w:val="22"/>
          <w:lang w:val="es-ES"/>
        </w:rPr>
        <w:t xml:space="preserve">. El examen de la cuestión de la perseguibilidad de los delitos de violencia sexual y </w:t>
      </w:r>
      <w:r w:rsidR="00073A32" w:rsidRPr="00C0059B">
        <w:rPr>
          <w:rFonts w:ascii="Times New Roman" w:hAnsi="Times New Roman" w:cs="Times New Roman"/>
          <w:sz w:val="22"/>
          <w:szCs w:val="22"/>
          <w:lang w:val="es-ES"/>
        </w:rPr>
        <w:t xml:space="preserve">de los </w:t>
      </w:r>
      <w:r w:rsidRPr="00C0059B">
        <w:rPr>
          <w:rFonts w:ascii="Times New Roman" w:hAnsi="Times New Roman" w:cs="Times New Roman"/>
          <w:sz w:val="22"/>
          <w:szCs w:val="22"/>
          <w:lang w:val="es-ES"/>
        </w:rPr>
        <w:t>actos de persecución no estaría completo si, además de a la disciplina legislativa y a su evolución en el tiempo, no consideráramos también su parte práctica, y por tanto el efectivo ejercicio por parte de las víctimas de ese derecho a condicionar el inicio y la prosecución de la acción penal que se les ha atribuido, en el marco de esa escasa propensión al recurso a la justicia penal, que en este ámbito también se registra en nuestro país.</w:t>
      </w:r>
    </w:p>
    <w:p w:rsidR="003874AA" w:rsidRPr="00C0059B" w:rsidRDefault="003874AA"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Según la encuesta del ISTAT de 2006, el porcentaje de violencia física y sexual contra las mujeres que es conocido por las fuerzas del orden gira en torno al 7,3% de la cifra total y es debido en gran parte a la denuncia de las víctimas (en el 65,4% de los casos) cuando el autor de la violencia es la pareja o ex pareja</w:t>
      </w:r>
      <w:r w:rsidRPr="00C0059B">
        <w:rPr>
          <w:rStyle w:val="Rimandonotaapidipagina"/>
          <w:rFonts w:ascii="Times New Roman" w:hAnsi="Times New Roman" w:cs="Times New Roman"/>
          <w:sz w:val="22"/>
          <w:szCs w:val="22"/>
          <w:lang w:val="es-ES"/>
        </w:rPr>
        <w:footnoteReference w:id="25"/>
      </w:r>
      <w:r w:rsidRPr="00C0059B">
        <w:rPr>
          <w:rFonts w:ascii="Times New Roman" w:hAnsi="Times New Roman" w:cs="Times New Roman"/>
          <w:sz w:val="22"/>
          <w:szCs w:val="22"/>
          <w:lang w:val="es-ES"/>
        </w:rPr>
        <w:t>.</w:t>
      </w:r>
    </w:p>
    <w:p w:rsidR="003874AA" w:rsidRPr="00C0059B" w:rsidRDefault="003874AA"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Particularmente elevado resulta, por otra parte, el número de procedimientos penales que se cierran de manera anticipada y sin un juicio sobre el fondo porque la víctima ha retirado la querella (cuando es posible) o de cualquier modo ha dejado de colaborar con la autoridad judicial en la averiguación de los hechos, determinando así la interrupción también de procedimientos por delitos perseguibles de oficio (como los malos tratos contra familiares y convivientes del art. 572 c.p.). Como se desprende de la encuesta coordinada por Giuditta Creazzo, sobre la difícil situación en la que se encuentran </w:t>
      </w:r>
      <w:r w:rsidRPr="00C0059B">
        <w:rPr>
          <w:rFonts w:ascii="Times New Roman" w:hAnsi="Times New Roman" w:cs="Times New Roman"/>
          <w:i/>
          <w:sz w:val="22"/>
          <w:szCs w:val="22"/>
          <w:lang w:val="es-ES"/>
        </w:rPr>
        <w:t>las mujeres que piden justicia, “la no colaboración de la mujer, y en particular la retirada de la querella y la retractación, son considerados por los actores del sistema penal como los principales obstáculos para la averiguación de la responsabilidad de la pareja y para proporcionar una tutela adecuada a las víctimas de violencia</w:t>
      </w:r>
      <w:r w:rsidRPr="00C0059B">
        <w:rPr>
          <w:rFonts w:ascii="Times New Roman" w:hAnsi="Times New Roman" w:cs="Times New Roman"/>
          <w:sz w:val="22"/>
          <w:szCs w:val="22"/>
          <w:lang w:val="es-ES"/>
        </w:rPr>
        <w:t>”</w:t>
      </w:r>
      <w:r w:rsidRPr="00C0059B">
        <w:rPr>
          <w:rStyle w:val="Rimandonotaapidipagina"/>
          <w:rFonts w:ascii="Times New Roman" w:hAnsi="Times New Roman" w:cs="Times New Roman"/>
          <w:sz w:val="22"/>
          <w:szCs w:val="22"/>
          <w:lang w:val="es-ES"/>
        </w:rPr>
        <w:footnoteReference w:id="26"/>
      </w:r>
      <w:r w:rsidR="004F67E3" w:rsidRPr="00C0059B">
        <w:rPr>
          <w:rFonts w:ascii="Times New Roman" w:hAnsi="Times New Roman" w:cs="Times New Roman"/>
          <w:sz w:val="22"/>
          <w:szCs w:val="22"/>
          <w:lang w:val="es-ES"/>
        </w:rPr>
        <w:t>. Con base en los datos obtenidos en dicha encuesta, los porcentajes de renuncia a la querella o retractación por parte de la mujer se corresponden con el 61% y el 52% de los casos examinados, respectivamente, en los Tribunales de Boloña y Catania. Un porcentaje más bajo, pero siempre significativo (respectivamente el 9% y el 11%) se registra respecto de los procesos por delitos perseguibles de oficio: también en estos casos “</w:t>
      </w:r>
      <w:r w:rsidR="004F67E3" w:rsidRPr="00C0059B">
        <w:rPr>
          <w:rFonts w:ascii="Times New Roman" w:hAnsi="Times New Roman" w:cs="Times New Roman"/>
          <w:i/>
          <w:sz w:val="22"/>
          <w:szCs w:val="22"/>
          <w:lang w:val="es-ES"/>
        </w:rPr>
        <w:t>el resultado del proceso parece depender del comportamiento de la víctima</w:t>
      </w:r>
      <w:r w:rsidR="004F67E3" w:rsidRPr="00C0059B">
        <w:rPr>
          <w:rFonts w:ascii="Times New Roman" w:hAnsi="Times New Roman" w:cs="Times New Roman"/>
          <w:sz w:val="22"/>
          <w:szCs w:val="22"/>
          <w:lang w:val="es-ES"/>
        </w:rPr>
        <w:t>”, porque “</w:t>
      </w:r>
      <w:r w:rsidR="004F67E3" w:rsidRPr="00C0059B">
        <w:rPr>
          <w:rFonts w:ascii="Times New Roman" w:hAnsi="Times New Roman" w:cs="Times New Roman"/>
          <w:i/>
          <w:sz w:val="22"/>
          <w:szCs w:val="22"/>
          <w:lang w:val="es-ES"/>
        </w:rPr>
        <w:t>difícilmente el edificio probatorio “se sostiene” en sede de juicio oral si no hay una parte ofendida motivada y capaz de sostener todo cuanto había declarado anteriormente</w:t>
      </w:r>
      <w:r w:rsidR="004F67E3" w:rsidRPr="00C0059B">
        <w:rPr>
          <w:rFonts w:ascii="Times New Roman" w:hAnsi="Times New Roman" w:cs="Times New Roman"/>
          <w:sz w:val="22"/>
          <w:szCs w:val="22"/>
          <w:lang w:val="es-ES"/>
        </w:rPr>
        <w:t>”</w:t>
      </w:r>
      <w:r w:rsidR="004F67E3" w:rsidRPr="00C0059B">
        <w:rPr>
          <w:rStyle w:val="Rimandonotaapidipagina"/>
          <w:rFonts w:ascii="Times New Roman" w:hAnsi="Times New Roman" w:cs="Times New Roman"/>
          <w:sz w:val="22"/>
          <w:szCs w:val="22"/>
          <w:lang w:val="es-ES"/>
        </w:rPr>
        <w:footnoteReference w:id="27"/>
      </w:r>
      <w:r w:rsidR="004F67E3" w:rsidRPr="00C0059B">
        <w:rPr>
          <w:rFonts w:ascii="Times New Roman" w:hAnsi="Times New Roman" w:cs="Times New Roman"/>
          <w:sz w:val="22"/>
          <w:szCs w:val="22"/>
          <w:lang w:val="es-ES"/>
        </w:rPr>
        <w:t>.</w:t>
      </w:r>
    </w:p>
    <w:p w:rsidR="004F67E3" w:rsidRPr="00C0059B" w:rsidRDefault="004F67E3"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Un porcentaje elevado de renuncias a la querella, respecto del delito de actos de persecución, emerge también de los datos publicados por la Dirección General de Estadística del Ministerio de Justicia, relativos a </w:t>
      </w:r>
      <w:r w:rsidRPr="00C0059B">
        <w:rPr>
          <w:rFonts w:ascii="Times New Roman" w:hAnsi="Times New Roman" w:cs="Times New Roman"/>
          <w:sz w:val="22"/>
          <w:szCs w:val="22"/>
          <w:lang w:val="es-ES"/>
        </w:rPr>
        <w:lastRenderedPageBreak/>
        <w:t>una muestra de procedimientos llevados a cabo ante los tribunales italianos en los años 2011-2012</w:t>
      </w:r>
      <w:r w:rsidRPr="00C0059B">
        <w:rPr>
          <w:rStyle w:val="Rimandonotaapidipagina"/>
          <w:rFonts w:ascii="Times New Roman" w:hAnsi="Times New Roman" w:cs="Times New Roman"/>
          <w:sz w:val="22"/>
          <w:szCs w:val="22"/>
          <w:lang w:val="es-ES"/>
        </w:rPr>
        <w:footnoteReference w:id="28"/>
      </w:r>
      <w:r w:rsidRPr="00C0059B">
        <w:rPr>
          <w:rFonts w:ascii="Times New Roman" w:hAnsi="Times New Roman" w:cs="Times New Roman"/>
          <w:sz w:val="22"/>
          <w:szCs w:val="22"/>
          <w:lang w:val="es-ES"/>
        </w:rPr>
        <w:t>. De los 508 procedimientos analizados se confirma ante todo que también el delito de actos de persecución constituye una de las modalidades con las que se manifiesta el fenómeno de la violencia de género, siendo cometido contra mujeres en</w:t>
      </w:r>
      <w:r w:rsidR="008A3393" w:rsidRPr="00C0059B">
        <w:rPr>
          <w:rFonts w:ascii="Times New Roman" w:hAnsi="Times New Roman" w:cs="Times New Roman"/>
          <w:sz w:val="22"/>
          <w:szCs w:val="22"/>
          <w:lang w:val="es-ES"/>
        </w:rPr>
        <w:t xml:space="preserve"> el 87% de los casos (que forma</w:t>
      </w:r>
      <w:r w:rsidRPr="00C0059B">
        <w:rPr>
          <w:rFonts w:ascii="Times New Roman" w:hAnsi="Times New Roman" w:cs="Times New Roman"/>
          <w:sz w:val="22"/>
          <w:szCs w:val="22"/>
          <w:lang w:val="es-ES"/>
        </w:rPr>
        <w:t xml:space="preserve"> parte del 91,1% de los casos con autor de sexo masculino). En la gran mayoría de esos casos (el 73,9%) la víctima ha tenido una relación sentimental anterior con el autor del delito, de forma </w:t>
      </w:r>
      <w:r w:rsidR="00F93EA1" w:rsidRPr="00C0059B">
        <w:rPr>
          <w:rFonts w:ascii="Times New Roman" w:hAnsi="Times New Roman" w:cs="Times New Roman"/>
          <w:sz w:val="22"/>
          <w:szCs w:val="22"/>
          <w:lang w:val="es-ES"/>
        </w:rPr>
        <w:t xml:space="preserve">que el motivo de la persecución se concreta las más de las veces en el deseo de recomponer la relación (así sucede en el 51,3% de los casos). El logro de este objetivo constituye, sin embargo, en general, la motivación más frecuente del </w:t>
      </w:r>
      <w:r w:rsidR="00F93EA1" w:rsidRPr="00C0059B">
        <w:rPr>
          <w:rFonts w:ascii="Times New Roman" w:hAnsi="Times New Roman" w:cs="Times New Roman"/>
          <w:i/>
          <w:sz w:val="22"/>
          <w:szCs w:val="22"/>
          <w:lang w:val="es-ES"/>
        </w:rPr>
        <w:t>stalking</w:t>
      </w:r>
      <w:r w:rsidR="00F93EA1" w:rsidRPr="00C0059B">
        <w:rPr>
          <w:rFonts w:ascii="Times New Roman" w:hAnsi="Times New Roman" w:cs="Times New Roman"/>
          <w:sz w:val="22"/>
          <w:szCs w:val="22"/>
          <w:lang w:val="es-ES"/>
        </w:rPr>
        <w:t xml:space="preserve"> (está presente en el 50,6% de los casos), junto con los celos (en el 26,4% de los casos) y la “obsesión sexual y psicológica” (en el 21,1% de los casos), que aparentemente aparece sobre todo cuando el hecho se ha cometido contra persona con la que subsiste una relación de amistad o de mero conocimiento. Los daños sufridos por las víctimas son sobre todo psicológicos (en el 68,9% de los casos) mientras que en los casos en que subsistía una anterior relación sentimental entre víctima y perseguidor se registra el porcentaje más elevado de lesiones físicas (en el 48,5% de los casos) y daños materiales (en el 30,3% de los casos).</w:t>
      </w:r>
    </w:p>
    <w:p w:rsidR="00F93EA1" w:rsidRPr="00C0059B" w:rsidRDefault="00F93EA1"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En particular, con relación a la modalidad con la que la noticia del delito ha llegado a conocimiento de la autoridad judicial, resulta que en el 92% de los casos ha habido denuncia/querella por parte de la víctima, tras haber transcurrido una media de 9,5 meses desde el inicio de la actividad persecutoria.</w:t>
      </w:r>
    </w:p>
    <w:p w:rsidR="00F93EA1" w:rsidRPr="00C0059B" w:rsidRDefault="00F93EA1"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Respecto al 57,4% de sentencias de condena en</w:t>
      </w:r>
      <w:r w:rsidR="008A3393" w:rsidRPr="00C0059B">
        <w:rPr>
          <w:rFonts w:ascii="Times New Roman" w:hAnsi="Times New Roman" w:cs="Times New Roman"/>
          <w:sz w:val="22"/>
          <w:szCs w:val="22"/>
          <w:lang w:val="es-ES"/>
        </w:rPr>
        <w:t xml:space="preserve"> primera</w:t>
      </w:r>
      <w:r w:rsidRPr="00C0059B">
        <w:rPr>
          <w:rFonts w:ascii="Times New Roman" w:hAnsi="Times New Roman" w:cs="Times New Roman"/>
          <w:sz w:val="22"/>
          <w:szCs w:val="22"/>
          <w:lang w:val="es-ES"/>
        </w:rPr>
        <w:t xml:space="preserve"> instancia (de las que el 14,9% son de conformidad), parece significativa la cuota de los pr</w:t>
      </w:r>
      <w:r w:rsidR="00330341" w:rsidRPr="00C0059B">
        <w:rPr>
          <w:rFonts w:ascii="Times New Roman" w:hAnsi="Times New Roman" w:cs="Times New Roman"/>
          <w:sz w:val="22"/>
          <w:szCs w:val="22"/>
          <w:lang w:val="es-ES"/>
        </w:rPr>
        <w:t>ocedimientos finalizados por sobreseimiento p</w:t>
      </w:r>
      <w:r w:rsidR="00084751" w:rsidRPr="00C0059B">
        <w:rPr>
          <w:rFonts w:ascii="Times New Roman" w:hAnsi="Times New Roman" w:cs="Times New Roman"/>
          <w:sz w:val="22"/>
          <w:szCs w:val="22"/>
          <w:lang w:val="es-ES"/>
        </w:rPr>
        <w:t>or haberse producido la retirada de</w:t>
      </w:r>
      <w:r w:rsidR="00330341" w:rsidRPr="00C0059B">
        <w:rPr>
          <w:rFonts w:ascii="Times New Roman" w:hAnsi="Times New Roman" w:cs="Times New Roman"/>
          <w:sz w:val="22"/>
          <w:szCs w:val="22"/>
          <w:lang w:val="es-ES"/>
        </w:rPr>
        <w:t xml:space="preserve"> la querella: el 23,8% de los casos, esto es, más de la mitad de los casos finalizados con una condena sin conformidad. Un dato importante, que no tiene en cuenta todos los casos (de los que no disponemos de una estimación) en los que la querella se ha retirado </w:t>
      </w:r>
      <w:r w:rsidR="00330341" w:rsidRPr="00C0059B">
        <w:rPr>
          <w:rFonts w:ascii="Times New Roman" w:hAnsi="Times New Roman" w:cs="Times New Roman"/>
          <w:i/>
          <w:sz w:val="22"/>
          <w:szCs w:val="22"/>
          <w:lang w:val="es-ES"/>
        </w:rPr>
        <w:t>antes</w:t>
      </w:r>
      <w:r w:rsidR="00330341" w:rsidRPr="00C0059B">
        <w:rPr>
          <w:rFonts w:ascii="Times New Roman" w:hAnsi="Times New Roman" w:cs="Times New Roman"/>
          <w:sz w:val="22"/>
          <w:szCs w:val="22"/>
          <w:lang w:val="es-ES"/>
        </w:rPr>
        <w:t xml:space="preserve"> del ejercicio de la acción penal, y q</w:t>
      </w:r>
      <w:r w:rsidR="008A3393" w:rsidRPr="00C0059B">
        <w:rPr>
          <w:rFonts w:ascii="Times New Roman" w:hAnsi="Times New Roman" w:cs="Times New Roman"/>
          <w:sz w:val="22"/>
          <w:szCs w:val="22"/>
          <w:lang w:val="es-ES"/>
        </w:rPr>
        <w:t>ue parece en parte explicable por</w:t>
      </w:r>
      <w:r w:rsidR="00330341" w:rsidRPr="00C0059B">
        <w:rPr>
          <w:rFonts w:ascii="Times New Roman" w:hAnsi="Times New Roman" w:cs="Times New Roman"/>
          <w:sz w:val="22"/>
          <w:szCs w:val="22"/>
          <w:lang w:val="es-ES"/>
        </w:rPr>
        <w:t xml:space="preserve"> la duración media del proceso en primera instancia que es de 587 días, o de 711 días para el procedimiento ordinario, sin ritos especiales.</w:t>
      </w:r>
    </w:p>
    <w:p w:rsidR="00330341" w:rsidRPr="00C0059B" w:rsidRDefault="00330341"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Menos incisivo, pero en cualquier caso presente, es también el porcentaje de las retiradas de la querella en apelación: la sentencia de no deber proceder por extinción del delito debidas a esta causa constituyen el 4% de las sentencias pronunciadas tras la impugnación, que en los años considerados ha alcanzado el 70,8% de las sentencias de condena en primera instancia (el 61% de las cuales ha sido confirmado en apelación).</w:t>
      </w:r>
    </w:p>
    <w:p w:rsidR="00330341" w:rsidRPr="00C0059B" w:rsidRDefault="00E91E89"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Si queremos profundizar en las razones que impiden a las mujeres interponer denuncia por la violencia sufrida, resulta útil la encuesta realizada en 2012 por la </w:t>
      </w:r>
      <w:r w:rsidRPr="00C0059B">
        <w:rPr>
          <w:rFonts w:ascii="Times New Roman" w:hAnsi="Times New Roman" w:cs="Times New Roman"/>
          <w:i/>
          <w:sz w:val="22"/>
          <w:szCs w:val="22"/>
          <w:lang w:val="es-ES"/>
        </w:rPr>
        <w:t xml:space="preserve">European Union Agency for Fundamental Rights </w:t>
      </w:r>
      <w:r w:rsidRPr="00C0059B">
        <w:rPr>
          <w:rFonts w:ascii="Times New Roman" w:hAnsi="Times New Roman" w:cs="Times New Roman"/>
          <w:sz w:val="22"/>
          <w:szCs w:val="22"/>
          <w:lang w:val="es-ES"/>
        </w:rPr>
        <w:t>(FRA) con una muest</w:t>
      </w:r>
      <w:r w:rsidR="008A3393" w:rsidRPr="00C0059B">
        <w:rPr>
          <w:rFonts w:ascii="Times New Roman" w:hAnsi="Times New Roman" w:cs="Times New Roman"/>
          <w:sz w:val="22"/>
          <w:szCs w:val="22"/>
          <w:lang w:val="es-ES"/>
        </w:rPr>
        <w:t>r</w:t>
      </w:r>
      <w:r w:rsidRPr="00C0059B">
        <w:rPr>
          <w:rFonts w:ascii="Times New Roman" w:hAnsi="Times New Roman" w:cs="Times New Roman"/>
          <w:sz w:val="22"/>
          <w:szCs w:val="22"/>
          <w:lang w:val="es-ES"/>
        </w:rPr>
        <w:t>a de 42.002 mujeres de edades comprendidas entre los 18 y los 74 años, de 28 países miembros de la Unión Europea</w:t>
      </w:r>
      <w:r w:rsidRPr="00C0059B">
        <w:rPr>
          <w:rStyle w:val="Rimandonotaapidipagina"/>
          <w:rFonts w:ascii="Times New Roman" w:hAnsi="Times New Roman" w:cs="Times New Roman"/>
          <w:sz w:val="22"/>
          <w:szCs w:val="22"/>
          <w:lang w:val="es-ES"/>
        </w:rPr>
        <w:footnoteReference w:id="29"/>
      </w:r>
      <w:r w:rsidRPr="00C0059B">
        <w:rPr>
          <w:rFonts w:ascii="Times New Roman" w:hAnsi="Times New Roman" w:cs="Times New Roman"/>
          <w:sz w:val="22"/>
          <w:szCs w:val="22"/>
          <w:lang w:val="es-ES"/>
        </w:rPr>
        <w:t>: mujeres que en un porcentaje alto (el 33%, representativo de más de 13 millones de mujeres) ha</w:t>
      </w:r>
      <w:r w:rsidR="00084751" w:rsidRPr="00C0059B">
        <w:rPr>
          <w:rFonts w:ascii="Times New Roman" w:hAnsi="Times New Roman" w:cs="Times New Roman"/>
          <w:sz w:val="22"/>
          <w:szCs w:val="22"/>
          <w:lang w:val="es-ES"/>
        </w:rPr>
        <w:t>n</w:t>
      </w:r>
      <w:r w:rsidRPr="00C0059B">
        <w:rPr>
          <w:rFonts w:ascii="Times New Roman" w:hAnsi="Times New Roman" w:cs="Times New Roman"/>
          <w:sz w:val="22"/>
          <w:szCs w:val="22"/>
          <w:lang w:val="es-ES"/>
        </w:rPr>
        <w:t xml:space="preserve"> declarado haber sido víctima</w:t>
      </w:r>
      <w:r w:rsidR="00084751" w:rsidRPr="00C0059B">
        <w:rPr>
          <w:rFonts w:ascii="Times New Roman" w:hAnsi="Times New Roman" w:cs="Times New Roman"/>
          <w:sz w:val="22"/>
          <w:szCs w:val="22"/>
          <w:lang w:val="es-ES"/>
        </w:rPr>
        <w:t>s</w:t>
      </w:r>
      <w:r w:rsidRPr="00C0059B">
        <w:rPr>
          <w:rFonts w:ascii="Times New Roman" w:hAnsi="Times New Roman" w:cs="Times New Roman"/>
          <w:sz w:val="22"/>
          <w:szCs w:val="22"/>
          <w:lang w:val="es-ES"/>
        </w:rPr>
        <w:t xml:space="preserve"> de violencia física y/ o sexual después de los 15 años y que, sin em</w:t>
      </w:r>
      <w:r w:rsidR="00084751" w:rsidRPr="00C0059B">
        <w:rPr>
          <w:rFonts w:ascii="Times New Roman" w:hAnsi="Times New Roman" w:cs="Times New Roman"/>
          <w:sz w:val="22"/>
          <w:szCs w:val="22"/>
          <w:lang w:val="es-ES"/>
        </w:rPr>
        <w:t>bargo, solo en un porcentaje reducido</w:t>
      </w:r>
      <w:r w:rsidRPr="00C0059B">
        <w:rPr>
          <w:rFonts w:ascii="Times New Roman" w:hAnsi="Times New Roman" w:cs="Times New Roman"/>
          <w:sz w:val="22"/>
          <w:szCs w:val="22"/>
          <w:lang w:val="es-ES"/>
        </w:rPr>
        <w:t xml:space="preserve"> (el 14%) ha</w:t>
      </w:r>
      <w:r w:rsidR="00084751" w:rsidRPr="00C0059B">
        <w:rPr>
          <w:rFonts w:ascii="Times New Roman" w:hAnsi="Times New Roman" w:cs="Times New Roman"/>
          <w:sz w:val="22"/>
          <w:szCs w:val="22"/>
          <w:lang w:val="es-ES"/>
        </w:rPr>
        <w:t>n</w:t>
      </w:r>
      <w:r w:rsidRPr="00C0059B">
        <w:rPr>
          <w:rFonts w:ascii="Times New Roman" w:hAnsi="Times New Roman" w:cs="Times New Roman"/>
          <w:sz w:val="22"/>
          <w:szCs w:val="22"/>
          <w:lang w:val="es-ES"/>
        </w:rPr>
        <w:t xml:space="preserve"> denunciado el episodio más grave sufrido a </w:t>
      </w:r>
      <w:r w:rsidRPr="00C0059B">
        <w:rPr>
          <w:rFonts w:ascii="Times New Roman" w:hAnsi="Times New Roman" w:cs="Times New Roman"/>
          <w:sz w:val="22"/>
          <w:szCs w:val="22"/>
          <w:lang w:val="es-ES"/>
        </w:rPr>
        <w:lastRenderedPageBreak/>
        <w:t xml:space="preserve">manos del propio compañero y todavía menos (el 13%) el sufrido a manos de una persona </w:t>
      </w:r>
      <w:r w:rsidRPr="00C0059B">
        <w:rPr>
          <w:rFonts w:ascii="Times New Roman" w:hAnsi="Times New Roman" w:cs="Times New Roman"/>
          <w:i/>
          <w:sz w:val="22"/>
          <w:szCs w:val="22"/>
          <w:lang w:val="es-ES"/>
        </w:rPr>
        <w:t>distinta</w:t>
      </w:r>
      <w:r w:rsidRPr="00C0059B">
        <w:rPr>
          <w:rFonts w:ascii="Times New Roman" w:hAnsi="Times New Roman" w:cs="Times New Roman"/>
          <w:sz w:val="22"/>
          <w:szCs w:val="22"/>
          <w:lang w:val="es-ES"/>
        </w:rPr>
        <w:t xml:space="preserve"> del compañero.</w:t>
      </w:r>
    </w:p>
    <w:p w:rsidR="00E91E89" w:rsidRPr="00C0059B" w:rsidRDefault="00E91E89"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A la pregunta sobre las razones de la falta de denuncia, muchas mujeres cuentan haber considerado la violencia sufrida como un asunto privado, sobre el que guardar secreto (el 21% y el 18% de las víctimas de violencia sexual y el 11% y el 4% de las víctimas de violencia física, cometida, respectivamente, por el com</w:t>
      </w:r>
      <w:r w:rsidR="008A3393" w:rsidRPr="00C0059B">
        <w:rPr>
          <w:rFonts w:ascii="Times New Roman" w:hAnsi="Times New Roman" w:cs="Times New Roman"/>
          <w:sz w:val="22"/>
          <w:szCs w:val="22"/>
          <w:lang w:val="es-ES"/>
        </w:rPr>
        <w:t>pañero o por un extraño) o del</w:t>
      </w:r>
      <w:r w:rsidRPr="00C0059B">
        <w:rPr>
          <w:rFonts w:ascii="Times New Roman" w:hAnsi="Times New Roman" w:cs="Times New Roman"/>
          <w:sz w:val="22"/>
          <w:szCs w:val="22"/>
          <w:lang w:val="es-ES"/>
        </w:rPr>
        <w:t xml:space="preserve"> que hablar solo con amigos y familiares (el 33% y el 26% de las mujeres víctimas de violencia sexual y el 41% y el 36% de las víctimas de violencia física, según el autor sea el compañero o un extraño). A ello se añade el sentimiento de vergüenza o de incomodidad, sobre todo si se trata de violencia sexual (así, el 23% y el 26% de las víctimas, según la violencia haya sido cometida por el compañero o por un extraño frente al 11% y el 5% si se trata de violencia física) y el sentimiento de culpa, que explica la falta de denuncia para el 6% y el 13% de las víctimas de violencia sexual, respectivamente, a manos del compañero o de un extraño y para el 4% de las víctimas de violencia física, con independencia de quién haya sido el autor.</w:t>
      </w:r>
    </w:p>
    <w:p w:rsidR="00E91E89" w:rsidRPr="00C0059B" w:rsidRDefault="00E91E89"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Sin embargo, frente a estas diversas motivaciones que han inducido a las mujeres a mantener en secreto lo sucedido, encontramos indicadas una serie de razones externas que han desincentivado desde el inicio la denuncia y que en gran parte podemos considerar el origen del deseo de encerrarse en sí mismas típico de las víctimas de estos delitos. El mayor número de respuestas se centra en la inutilidad y/o inoportunidad del recurso a las fuerzas del orden, sobre todo en presencia de una violencia sexual (así, el 54% de las respuestas relativas a la violencia cometida por el compañero y el 46% de la co</w:t>
      </w:r>
      <w:r w:rsidR="00877369" w:rsidRPr="00C0059B">
        <w:rPr>
          <w:rFonts w:ascii="Times New Roman" w:hAnsi="Times New Roman" w:cs="Times New Roman"/>
          <w:sz w:val="22"/>
          <w:szCs w:val="22"/>
          <w:lang w:val="es-ES"/>
        </w:rPr>
        <w:t>metida por una persona extraña), pero en buena medida también respecto de una violencia física (el 25% y el 20% de los casos, según la violencia provenga del compañero o de un extraño)</w:t>
      </w:r>
      <w:r w:rsidR="00877369" w:rsidRPr="00C0059B">
        <w:rPr>
          <w:rStyle w:val="Rimandonotaapidipagina"/>
          <w:rFonts w:ascii="Times New Roman" w:hAnsi="Times New Roman" w:cs="Times New Roman"/>
          <w:sz w:val="22"/>
          <w:szCs w:val="22"/>
          <w:lang w:val="es-ES"/>
        </w:rPr>
        <w:footnoteReference w:id="30"/>
      </w:r>
      <w:r w:rsidR="00877369" w:rsidRPr="00C0059B">
        <w:rPr>
          <w:rFonts w:ascii="Times New Roman" w:hAnsi="Times New Roman" w:cs="Times New Roman"/>
          <w:sz w:val="22"/>
          <w:szCs w:val="22"/>
          <w:lang w:val="es-ES"/>
        </w:rPr>
        <w:t>. Esta desconfianza frente a la policía, y el sistema de justicia penal que la denuncia necesariamente activa, depende las más de las veces de la convicción de que no son capaces de tutelar a la víctima frente al autor del delito, sobre todo si la violencia ha sido de tipo sexual (así lo afirman, respectivamente, el 20% y el 11% de las mujeres, según la violencia provenga del compañero o de una persona extraña). Respecto a esta última, también es significativa la convicción de la inutilidad de la denuncia, sea por falta de voluntad por parte de las fuerzas del orden (así lo sostiene el 13% de las mujeres víctimas del compañero y el 12% de las víctimas de una persona extraña), sea por la incapacidad de hacer algo resolutivo (según un porcentaje similar al precedente: el 12% si el autor es el compañero y el 9% si es una persona distinta). Por último, un número relativamente alto de mujeres declara no haber denunciado la violencia sexua</w:t>
      </w:r>
      <w:r w:rsidR="008A3393" w:rsidRPr="00C0059B">
        <w:rPr>
          <w:rFonts w:ascii="Times New Roman" w:hAnsi="Times New Roman" w:cs="Times New Roman"/>
          <w:sz w:val="22"/>
          <w:szCs w:val="22"/>
          <w:lang w:val="es-ES"/>
        </w:rPr>
        <w:t>l ante el temor de no ser creído</w:t>
      </w:r>
      <w:r w:rsidR="00877369" w:rsidRPr="00C0059B">
        <w:rPr>
          <w:rFonts w:ascii="Times New Roman" w:hAnsi="Times New Roman" w:cs="Times New Roman"/>
          <w:sz w:val="22"/>
          <w:szCs w:val="22"/>
          <w:lang w:val="es-ES"/>
        </w:rPr>
        <w:t>: el 9% cuando la violencia es del compañero y el 14% cuando, por el contrario, es obra de un extraño.</w:t>
      </w:r>
    </w:p>
    <w:p w:rsidR="00877369" w:rsidRPr="00C0059B" w:rsidRDefault="00877369"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En conclusión, del examen de todos estos datos (todavía pocos, a decir verdad) parece claro, ante todo, que lo que frena a las víctimas a la hora de denunciar la violencia sufrida no es solo el temor al </w:t>
      </w:r>
      <w:r w:rsidRPr="00C0059B">
        <w:rPr>
          <w:rFonts w:ascii="Times New Roman" w:hAnsi="Times New Roman" w:cs="Times New Roman"/>
          <w:i/>
          <w:sz w:val="22"/>
          <w:szCs w:val="22"/>
          <w:lang w:val="es-ES"/>
        </w:rPr>
        <w:t>strepitus fori</w:t>
      </w:r>
      <w:r w:rsidRPr="00C0059B">
        <w:rPr>
          <w:rFonts w:ascii="Times New Roman" w:hAnsi="Times New Roman" w:cs="Times New Roman"/>
          <w:sz w:val="22"/>
          <w:szCs w:val="22"/>
          <w:lang w:val="es-ES"/>
        </w:rPr>
        <w:t xml:space="preserve">, sino también – y probablemente en primera línea – la falta de profesionalidad y de solidaridad por parte de las fuerzas del orden, que inevitablemente llevan a las mujeres a considerar preferible una gestión privada y </w:t>
      </w:r>
      <w:r w:rsidRPr="00C0059B">
        <w:rPr>
          <w:rFonts w:ascii="Times New Roman" w:hAnsi="Times New Roman" w:cs="Times New Roman"/>
          <w:sz w:val="22"/>
          <w:szCs w:val="22"/>
          <w:lang w:val="es-ES"/>
        </w:rPr>
        <w:lastRenderedPageBreak/>
        <w:t>silenciosa de la violencia sufrida, percibiendo la respuesta de las instituciones encargadas de su tutela como inadecuada, cuando no incluso humillante.</w:t>
      </w:r>
    </w:p>
    <w:p w:rsidR="0079063D" w:rsidRPr="00C0059B" w:rsidRDefault="0079063D"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Por otra parte, incluso cuando la mujer ha superado todos los obstáculos a la denuncia o de todas formas el sistema de justicia penal se ha puesto en movimiento prescindiendo de su voluntad, la acción judicial adoptada para parar la violencia contra ella a menudo finaliza porque la mujer da marcha a</w:t>
      </w:r>
      <w:r w:rsidR="008A3393" w:rsidRPr="00C0059B">
        <w:rPr>
          <w:rFonts w:ascii="Times New Roman" w:hAnsi="Times New Roman" w:cs="Times New Roman"/>
          <w:sz w:val="22"/>
          <w:szCs w:val="22"/>
          <w:lang w:val="es-ES"/>
        </w:rPr>
        <w:t>trá</w:t>
      </w:r>
      <w:r w:rsidRPr="00C0059B">
        <w:rPr>
          <w:rFonts w:ascii="Times New Roman" w:hAnsi="Times New Roman" w:cs="Times New Roman"/>
          <w:sz w:val="22"/>
          <w:szCs w:val="22"/>
          <w:lang w:val="es-ES"/>
        </w:rPr>
        <w:t>s o deja de colaborar. También en este caso, sin embargo, se tiene la impresión de que se atribuye al comportamiento de la mujer el fracaso de la intervención institucional</w:t>
      </w:r>
      <w:r w:rsidR="008A3393" w:rsidRPr="00C0059B">
        <w:rPr>
          <w:rFonts w:ascii="Times New Roman" w:hAnsi="Times New Roman" w:cs="Times New Roman"/>
          <w:sz w:val="22"/>
          <w:szCs w:val="22"/>
          <w:lang w:val="es-ES"/>
        </w:rPr>
        <w:t xml:space="preserve"> que en realidad parece depender</w:t>
      </w:r>
      <w:r w:rsidRPr="00C0059B">
        <w:rPr>
          <w:rFonts w:ascii="Times New Roman" w:hAnsi="Times New Roman" w:cs="Times New Roman"/>
          <w:sz w:val="22"/>
          <w:szCs w:val="22"/>
          <w:lang w:val="es-ES"/>
        </w:rPr>
        <w:t xml:space="preserve"> en gran medida del mal funcionamiento del sistema, que no solo emplea demasiado tiempo para determinar la responsabilidad, sino que confía en exceso en la colaboración de la víctima para proveer una actividad de instrucción evidentemente insuficiente, pese a que la duración media de las investigaciones preliminares de estos delitos no se pue</w:t>
      </w:r>
      <w:r w:rsidR="008A3393" w:rsidRPr="00C0059B">
        <w:rPr>
          <w:rFonts w:ascii="Times New Roman" w:hAnsi="Times New Roman" w:cs="Times New Roman"/>
          <w:sz w:val="22"/>
          <w:szCs w:val="22"/>
          <w:lang w:val="es-ES"/>
        </w:rPr>
        <w:t>da calificar ni mucho menos de</w:t>
      </w:r>
      <w:r w:rsidRPr="00C0059B">
        <w:rPr>
          <w:rFonts w:ascii="Times New Roman" w:hAnsi="Times New Roman" w:cs="Times New Roman"/>
          <w:sz w:val="22"/>
          <w:szCs w:val="22"/>
          <w:lang w:val="es-ES"/>
        </w:rPr>
        <w:t xml:space="preserve"> contenida, según los resultados de la investigación realizada a nivel nacional en 2012. El tiempo transcurrido de media entre la inscripción en el registro de la noticia del delito y el reenvío a juicio o el archivo se estimó en 2009 – sin que los datos de 2010 registren diferencias significativas – en 216 días para el delito de actos de persecución y en casi 400 días para los de violencia sexual y malos tratos (más precisamente 373 días para el primer y 372 para el segundo)</w:t>
      </w:r>
      <w:r w:rsidRPr="00C0059B">
        <w:rPr>
          <w:rStyle w:val="Rimandonotaapidipagina"/>
          <w:rFonts w:ascii="Times New Roman" w:hAnsi="Times New Roman" w:cs="Times New Roman"/>
          <w:sz w:val="22"/>
          <w:szCs w:val="22"/>
          <w:lang w:val="es-ES"/>
        </w:rPr>
        <w:footnoteReference w:id="31"/>
      </w:r>
      <w:r w:rsidRPr="00C0059B">
        <w:rPr>
          <w:rFonts w:ascii="Times New Roman" w:hAnsi="Times New Roman" w:cs="Times New Roman"/>
          <w:sz w:val="22"/>
          <w:szCs w:val="22"/>
          <w:lang w:val="es-ES"/>
        </w:rPr>
        <w:t>.</w:t>
      </w:r>
    </w:p>
    <w:p w:rsidR="0079063D" w:rsidRPr="00C0059B" w:rsidRDefault="0079063D" w:rsidP="00CA7749">
      <w:pPr>
        <w:spacing w:line="360" w:lineRule="auto"/>
        <w:ind w:left="-567" w:right="-568" w:firstLine="284"/>
        <w:jc w:val="both"/>
        <w:rPr>
          <w:rFonts w:ascii="Times New Roman" w:hAnsi="Times New Roman" w:cs="Times New Roman"/>
          <w:sz w:val="22"/>
          <w:szCs w:val="22"/>
          <w:lang w:val="es-ES"/>
        </w:rPr>
      </w:pPr>
    </w:p>
    <w:p w:rsidR="0079063D" w:rsidRPr="00C0059B" w:rsidRDefault="0079063D"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b/>
          <w:sz w:val="22"/>
          <w:szCs w:val="22"/>
          <w:lang w:val="es-ES"/>
        </w:rPr>
        <w:t>4. ¿De qué “libertad” para las mujeres estamos hablando?</w:t>
      </w:r>
      <w:r w:rsidR="00FE55A3" w:rsidRPr="00C0059B">
        <w:rPr>
          <w:rFonts w:ascii="Times New Roman" w:hAnsi="Times New Roman" w:cs="Times New Roman"/>
          <w:sz w:val="22"/>
          <w:szCs w:val="22"/>
          <w:lang w:val="es-ES"/>
        </w:rPr>
        <w:t xml:space="preserve"> La reflexión sobre el régimen de pr</w:t>
      </w:r>
      <w:r w:rsidR="00084751" w:rsidRPr="00C0059B">
        <w:rPr>
          <w:rFonts w:ascii="Times New Roman" w:hAnsi="Times New Roman" w:cs="Times New Roman"/>
          <w:sz w:val="22"/>
          <w:szCs w:val="22"/>
          <w:lang w:val="es-ES"/>
        </w:rPr>
        <w:t>ocedibilidad previsto en el</w:t>
      </w:r>
      <w:r w:rsidR="00FE55A3" w:rsidRPr="00C0059B">
        <w:rPr>
          <w:rFonts w:ascii="Times New Roman" w:hAnsi="Times New Roman" w:cs="Times New Roman"/>
          <w:sz w:val="22"/>
          <w:szCs w:val="22"/>
          <w:lang w:val="es-ES"/>
        </w:rPr>
        <w:t xml:space="preserve"> ordenamiento</w:t>
      </w:r>
      <w:r w:rsidR="00084751" w:rsidRPr="00C0059B">
        <w:rPr>
          <w:rFonts w:ascii="Times New Roman" w:hAnsi="Times New Roman" w:cs="Times New Roman"/>
          <w:sz w:val="22"/>
          <w:szCs w:val="22"/>
          <w:lang w:val="es-ES"/>
        </w:rPr>
        <w:t xml:space="preserve"> italiano</w:t>
      </w:r>
      <w:r w:rsidR="00FE55A3" w:rsidRPr="00C0059B">
        <w:rPr>
          <w:rFonts w:ascii="Times New Roman" w:hAnsi="Times New Roman" w:cs="Times New Roman"/>
          <w:sz w:val="22"/>
          <w:szCs w:val="22"/>
          <w:lang w:val="es-ES"/>
        </w:rPr>
        <w:t xml:space="preserve"> para la violencia sexual y los actos de persecución llevada a cabo hasta aquí ha sido sugerida por la contradicción aparentemente existente entre los argumentos al</w:t>
      </w:r>
      <w:r w:rsidR="00084751" w:rsidRPr="00C0059B">
        <w:rPr>
          <w:rFonts w:ascii="Times New Roman" w:hAnsi="Times New Roman" w:cs="Times New Roman"/>
          <w:sz w:val="22"/>
          <w:szCs w:val="22"/>
          <w:lang w:val="es-ES"/>
        </w:rPr>
        <w:t>egados en contra de la irrevoc</w:t>
      </w:r>
      <w:r w:rsidR="00FE55A3" w:rsidRPr="00C0059B">
        <w:rPr>
          <w:rFonts w:ascii="Times New Roman" w:hAnsi="Times New Roman" w:cs="Times New Roman"/>
          <w:sz w:val="22"/>
          <w:szCs w:val="22"/>
          <w:lang w:val="es-ES"/>
        </w:rPr>
        <w:t xml:space="preserve">abilidad de la querella, hoy en relación con el delito de </w:t>
      </w:r>
      <w:r w:rsidR="00FE55A3" w:rsidRPr="00C0059B">
        <w:rPr>
          <w:rFonts w:ascii="Times New Roman" w:hAnsi="Times New Roman" w:cs="Times New Roman"/>
          <w:i/>
          <w:sz w:val="22"/>
          <w:szCs w:val="22"/>
          <w:lang w:val="es-ES"/>
        </w:rPr>
        <w:t>stalking</w:t>
      </w:r>
      <w:r w:rsidR="00FE55A3" w:rsidRPr="00C0059B">
        <w:rPr>
          <w:rFonts w:ascii="Times New Roman" w:hAnsi="Times New Roman" w:cs="Times New Roman"/>
          <w:sz w:val="22"/>
          <w:szCs w:val="22"/>
          <w:lang w:val="es-ES"/>
        </w:rPr>
        <w:t>, en el pasado con la violencia sexual</w:t>
      </w:r>
      <w:r w:rsidR="008A3393" w:rsidRPr="00C0059B">
        <w:rPr>
          <w:rFonts w:ascii="Times New Roman" w:hAnsi="Times New Roman" w:cs="Times New Roman"/>
          <w:sz w:val="22"/>
          <w:szCs w:val="22"/>
          <w:lang w:val="es-ES"/>
        </w:rPr>
        <w:t>,</w:t>
      </w:r>
      <w:r w:rsidR="00FE55A3" w:rsidRPr="00C0059B">
        <w:rPr>
          <w:rFonts w:ascii="Times New Roman" w:hAnsi="Times New Roman" w:cs="Times New Roman"/>
          <w:sz w:val="22"/>
          <w:szCs w:val="22"/>
          <w:lang w:val="es-ES"/>
        </w:rPr>
        <w:t xml:space="preserve"> y la exigencia prevista en la Convención de Estambu</w:t>
      </w:r>
      <w:r w:rsidR="00084751" w:rsidRPr="00C0059B">
        <w:rPr>
          <w:rFonts w:ascii="Times New Roman" w:hAnsi="Times New Roman" w:cs="Times New Roman"/>
          <w:sz w:val="22"/>
          <w:szCs w:val="22"/>
          <w:lang w:val="es-ES"/>
        </w:rPr>
        <w:t>l de prever no solo la irrevoc</w:t>
      </w:r>
      <w:r w:rsidR="00FE55A3" w:rsidRPr="00C0059B">
        <w:rPr>
          <w:rFonts w:ascii="Times New Roman" w:hAnsi="Times New Roman" w:cs="Times New Roman"/>
          <w:sz w:val="22"/>
          <w:szCs w:val="22"/>
          <w:lang w:val="es-ES"/>
        </w:rPr>
        <w:t>abilidad de la querella</w:t>
      </w:r>
      <w:r w:rsidR="008A3393" w:rsidRPr="00C0059B">
        <w:rPr>
          <w:rFonts w:ascii="Times New Roman" w:hAnsi="Times New Roman" w:cs="Times New Roman"/>
          <w:sz w:val="22"/>
          <w:szCs w:val="22"/>
          <w:lang w:val="es-ES"/>
        </w:rPr>
        <w:t xml:space="preserve"> sino, más en general, la persegu</w:t>
      </w:r>
      <w:r w:rsidR="00FE55A3" w:rsidRPr="00C0059B">
        <w:rPr>
          <w:rFonts w:ascii="Times New Roman" w:hAnsi="Times New Roman" w:cs="Times New Roman"/>
          <w:sz w:val="22"/>
          <w:szCs w:val="22"/>
          <w:lang w:val="es-ES"/>
        </w:rPr>
        <w:t>ibilidad de oficio de las distintas figuras delictivas en las que se manifiesta con mayor gravedad la violencia contra las mujeres.</w:t>
      </w:r>
    </w:p>
    <w:p w:rsidR="00FE55A3" w:rsidRPr="00C0059B" w:rsidRDefault="00FE55A3"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El marco que surge de todo ello lleva a dudar del hecho de que el ejercicio (o el no ejercicio) del derecho a presentar querella sea expresión de la libertad de autodeterminación de las mujeres. Incluso prescindiendo de cualquier consideración relativa a las presiones y la intimidación a las que puede verse expuesta por el poder de presentar y retirar la querella, la mujer no parece </w:t>
      </w:r>
      <w:r w:rsidRPr="00C0059B">
        <w:rPr>
          <w:rFonts w:ascii="Times New Roman" w:hAnsi="Times New Roman" w:cs="Times New Roman"/>
          <w:i/>
          <w:sz w:val="22"/>
          <w:szCs w:val="22"/>
          <w:lang w:val="es-ES"/>
        </w:rPr>
        <w:t>libre</w:t>
      </w:r>
      <w:r w:rsidRPr="00C0059B">
        <w:rPr>
          <w:rFonts w:ascii="Times New Roman" w:hAnsi="Times New Roman" w:cs="Times New Roman"/>
          <w:sz w:val="22"/>
          <w:szCs w:val="22"/>
          <w:lang w:val="es-ES"/>
        </w:rPr>
        <w:t xml:space="preserve"> a la hora de decidir si recurrir o no a la justicia penal porque se ve obligada a renunciar de principio, por las dificultades y el sufrimiento que esta elección le impondría y que las más de las veces decide asumir solo cuando la violencia se hace realmente intolerable para ella y/o para sus hijos. Por otra parte, como se decía con gran realismo en la propuesta de ley dirigida a convertir en perseguibles de oficio los delitos sexuales, antes citada, es “</w:t>
      </w:r>
      <w:r w:rsidRPr="00C0059B">
        <w:rPr>
          <w:rFonts w:ascii="Times New Roman" w:hAnsi="Times New Roman" w:cs="Times New Roman"/>
          <w:i/>
          <w:sz w:val="22"/>
          <w:szCs w:val="22"/>
          <w:lang w:val="es-ES"/>
        </w:rPr>
        <w:t>un argum</w:t>
      </w:r>
      <w:r w:rsidR="008A3393" w:rsidRPr="00C0059B">
        <w:rPr>
          <w:rFonts w:ascii="Times New Roman" w:hAnsi="Times New Roman" w:cs="Times New Roman"/>
          <w:i/>
          <w:sz w:val="22"/>
          <w:szCs w:val="22"/>
          <w:lang w:val="es-ES"/>
        </w:rPr>
        <w:t>ento falso ese conforme al cual</w:t>
      </w:r>
      <w:r w:rsidRPr="00C0059B">
        <w:rPr>
          <w:rFonts w:ascii="Times New Roman" w:hAnsi="Times New Roman" w:cs="Times New Roman"/>
          <w:i/>
          <w:sz w:val="22"/>
          <w:szCs w:val="22"/>
          <w:lang w:val="es-ES"/>
        </w:rPr>
        <w:t xml:space="preserve"> con la perseguibilidad de oficio se nos arrastraría ante los tribunales en contra de nuestra </w:t>
      </w:r>
      <w:r w:rsidRPr="00C0059B">
        <w:rPr>
          <w:rFonts w:ascii="Times New Roman" w:hAnsi="Times New Roman" w:cs="Times New Roman"/>
          <w:i/>
          <w:sz w:val="22"/>
          <w:szCs w:val="22"/>
          <w:lang w:val="es-ES"/>
        </w:rPr>
        <w:lastRenderedPageBreak/>
        <w:t>voluntad, (…) porque en la gran mayoría de los casos solo nosotras conocemos los actos de violencia sufridos y por tanto dependerá exclusivamente de nosotras poner en funcionamiento el mecanismo penal</w:t>
      </w:r>
      <w:r w:rsidRPr="00C0059B">
        <w:rPr>
          <w:rFonts w:ascii="Times New Roman" w:hAnsi="Times New Roman" w:cs="Times New Roman"/>
          <w:sz w:val="22"/>
          <w:szCs w:val="22"/>
          <w:lang w:val="es-ES"/>
        </w:rPr>
        <w:t>”</w:t>
      </w:r>
      <w:r w:rsidRPr="00C0059B">
        <w:rPr>
          <w:rStyle w:val="Rimandonotaapidipagina"/>
          <w:rFonts w:ascii="Times New Roman" w:hAnsi="Times New Roman" w:cs="Times New Roman"/>
          <w:sz w:val="22"/>
          <w:szCs w:val="22"/>
          <w:lang w:val="es-ES"/>
        </w:rPr>
        <w:footnoteReference w:id="32"/>
      </w:r>
      <w:r w:rsidRPr="00C0059B">
        <w:rPr>
          <w:rFonts w:ascii="Times New Roman" w:hAnsi="Times New Roman" w:cs="Times New Roman"/>
          <w:sz w:val="22"/>
          <w:szCs w:val="22"/>
          <w:lang w:val="es-ES"/>
        </w:rPr>
        <w:t>.</w:t>
      </w:r>
    </w:p>
    <w:p w:rsidR="0079063D" w:rsidRPr="00C0059B" w:rsidRDefault="00FE55A3"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 xml:space="preserve">Tampoco la decisión de la mujer de retirar la querella (al igual que la de no colaborar con la justicia) parece fruto de una elección </w:t>
      </w:r>
      <w:r w:rsidRPr="00C0059B">
        <w:rPr>
          <w:rFonts w:ascii="Times New Roman" w:hAnsi="Times New Roman" w:cs="Times New Roman"/>
          <w:i/>
          <w:sz w:val="22"/>
          <w:szCs w:val="22"/>
          <w:lang w:val="es-ES"/>
        </w:rPr>
        <w:t>libre</w:t>
      </w:r>
      <w:r w:rsidRPr="00C0059B">
        <w:rPr>
          <w:rFonts w:ascii="Times New Roman" w:hAnsi="Times New Roman" w:cs="Times New Roman"/>
          <w:sz w:val="22"/>
          <w:szCs w:val="22"/>
          <w:lang w:val="es-ES"/>
        </w:rPr>
        <w:t>: la razón más probable que subyace a un comportamiento tal es el deseo de poner fin a un proceso que se prolonga durante demasiado tiempo, del cual se desconoce el desarrol</w:t>
      </w:r>
      <w:r w:rsidR="008A3393" w:rsidRPr="00C0059B">
        <w:rPr>
          <w:rFonts w:ascii="Times New Roman" w:hAnsi="Times New Roman" w:cs="Times New Roman"/>
          <w:sz w:val="22"/>
          <w:szCs w:val="22"/>
          <w:lang w:val="es-ES"/>
        </w:rPr>
        <w:t>lo pero de cuyo resultado</w:t>
      </w:r>
      <w:r w:rsidRPr="00C0059B">
        <w:rPr>
          <w:rFonts w:ascii="Times New Roman" w:hAnsi="Times New Roman" w:cs="Times New Roman"/>
          <w:sz w:val="22"/>
          <w:szCs w:val="22"/>
          <w:lang w:val="es-ES"/>
        </w:rPr>
        <w:t xml:space="preserve"> es considerada responsable.</w:t>
      </w:r>
      <w:r w:rsidR="0086000C" w:rsidRPr="00C0059B">
        <w:rPr>
          <w:rFonts w:ascii="Times New Roman" w:hAnsi="Times New Roman" w:cs="Times New Roman"/>
          <w:sz w:val="22"/>
          <w:szCs w:val="22"/>
          <w:lang w:val="es-ES"/>
        </w:rPr>
        <w:t xml:space="preserve"> La ilusión de esta libertad de decisión, sobre el (posible) inicio y el fin (seguro) de un procedimiento penal parece tener, sin embargo, un precio muy alto: el de la atribución a la víctima de toda la responsabilidad por la ineficiencia de la tutela ofrecida por el sistema penal, ya que se espera que sean las mujeres quienes den un paso adelante, denuncien lo sucedido, ratifiquen sus propias declaraciones todas las veces en que, de forma más o menos correcta y respetuosa, sean examinadas y reexaminadas, y en fin resistan los tiempos de la justicia penal; tiempos que a veces son demasiado largos en relación con las comprensibles exigencias de reorganización de la propia v</w:t>
      </w:r>
      <w:r w:rsidR="00084751" w:rsidRPr="00C0059B">
        <w:rPr>
          <w:rFonts w:ascii="Times New Roman" w:hAnsi="Times New Roman" w:cs="Times New Roman"/>
          <w:sz w:val="22"/>
          <w:szCs w:val="22"/>
          <w:lang w:val="es-ES"/>
        </w:rPr>
        <w:t xml:space="preserve">ida que la víctima a menudo </w:t>
      </w:r>
      <w:r w:rsidR="0086000C" w:rsidRPr="00C0059B">
        <w:rPr>
          <w:rFonts w:ascii="Times New Roman" w:hAnsi="Times New Roman" w:cs="Times New Roman"/>
          <w:sz w:val="22"/>
          <w:szCs w:val="22"/>
          <w:lang w:val="es-ES"/>
        </w:rPr>
        <w:t>tiene que afrontar.</w:t>
      </w:r>
    </w:p>
    <w:p w:rsidR="0086000C" w:rsidRPr="00C0059B" w:rsidRDefault="0086000C"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La obligación que el art. 55 de la Convención impone a los Estados consiste sobre todo en la puesta a disposición o el aumento de las estructuras asistenciales y de investigación necesarias para conseguir identificar cuanto antes</w:t>
      </w:r>
      <w:r w:rsidR="008A3393" w:rsidRPr="00C0059B">
        <w:rPr>
          <w:rFonts w:ascii="Times New Roman" w:hAnsi="Times New Roman" w:cs="Times New Roman"/>
          <w:sz w:val="22"/>
          <w:szCs w:val="22"/>
          <w:lang w:val="es-ES"/>
        </w:rPr>
        <w:t xml:space="preserve"> a</w:t>
      </w:r>
      <w:r w:rsidRPr="00C0059B">
        <w:rPr>
          <w:rFonts w:ascii="Times New Roman" w:hAnsi="Times New Roman" w:cs="Times New Roman"/>
          <w:sz w:val="22"/>
          <w:szCs w:val="22"/>
          <w:lang w:val="es-ES"/>
        </w:rPr>
        <w:t xml:space="preserve"> las mujeres víctimas de violencia y necesitadas de protección, antes de que sea demasiado tarde o de que la violencia ya haya dejado una marca indeleble. En relación con esta exigencia, el sistema de perseguibilidad a instancia de parte, en presencia de una archiconocida resistencia de las mujeres a denunciar las situaciones de violencia de las que son víctimas, hasta transcurridos meses o años de sufrimiento, puede constituir una fácil excusa para el Estado que no sepa o  no quiera emplear medios y recursos para afrontar el problema de otra forma.</w:t>
      </w:r>
    </w:p>
    <w:p w:rsidR="0086000C" w:rsidRPr="00C0059B" w:rsidRDefault="0086000C"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Además de no deber permitir que la mujer cargue sola con el peso de dar a conocer a las fuerzas del orden y a la autoridad competente la violencia sufrida, el Estado debe impedir que la víctima pueda, con una manifestación de voluntad, interrumpir la actividad de investigación o el proceso, así como evitar que su retractación puede surtir el mismo efecto, debido a la ausencia de fuentes de prueba ulteriores, suficientes para sostener la acusación. A este respecto nos parece que sería necesario no solo excluir la posibilidad de retirar la querella en todos los delitos que sean manifestación del fenómeno que se pretende combatir</w:t>
      </w:r>
      <w:r w:rsidRPr="00C0059B">
        <w:rPr>
          <w:rStyle w:val="Rimandonotaapidipagina"/>
          <w:rFonts w:ascii="Times New Roman" w:hAnsi="Times New Roman" w:cs="Times New Roman"/>
          <w:sz w:val="22"/>
          <w:szCs w:val="22"/>
          <w:lang w:val="es-ES"/>
        </w:rPr>
        <w:footnoteReference w:id="33"/>
      </w:r>
      <w:r w:rsidRPr="00C0059B">
        <w:rPr>
          <w:rFonts w:ascii="Times New Roman" w:hAnsi="Times New Roman" w:cs="Times New Roman"/>
          <w:sz w:val="22"/>
          <w:szCs w:val="22"/>
          <w:lang w:val="es-ES"/>
        </w:rPr>
        <w:t>,</w:t>
      </w:r>
      <w:r w:rsidR="00E470AD" w:rsidRPr="00C0059B">
        <w:rPr>
          <w:rFonts w:ascii="Times New Roman" w:hAnsi="Times New Roman" w:cs="Times New Roman"/>
          <w:sz w:val="22"/>
          <w:szCs w:val="22"/>
          <w:lang w:val="es-ES"/>
        </w:rPr>
        <w:t xml:space="preserve"> sino también incentivar la colaboración de la víctima predisponiendo un sistema de investigación y tratamiento del caso a medida de la mujer: por la competencia y sensibilidad de los operadores judiciales y de los abogados, los que tienen que asistir sea a la persona ofendida que al autor del delito; por la duración limitada del procedimiento, sobre todo entre el momento de la denuncia (o de la inscripción de la noticia del delito) y la primera audiencia en la que la víctima sea llamada a prestar testimonio; por el esfuerzo en la búsqueda y </w:t>
      </w:r>
      <w:r w:rsidR="00E470AD" w:rsidRPr="00C0059B">
        <w:rPr>
          <w:rFonts w:ascii="Times New Roman" w:hAnsi="Times New Roman" w:cs="Times New Roman"/>
          <w:sz w:val="22"/>
          <w:szCs w:val="22"/>
          <w:lang w:val="es-ES"/>
        </w:rPr>
        <w:lastRenderedPageBreak/>
        <w:t>adquisición de las fuentes de prueba, que permitan a la mujer no sentirse único testigo del suceso del que ha sido víctima, y por tanto única responsable, a los ojos del agente y de la opinión pública, del resultado del procedimiento; por último, por el recurso a programas de recuperación que ayuden al autor de la violencia a no repetir en el futuro el mismo comportamiento agresivo.</w:t>
      </w:r>
    </w:p>
    <w:p w:rsidR="00E470AD" w:rsidRDefault="00E470AD" w:rsidP="00CA7749">
      <w:pPr>
        <w:spacing w:line="360" w:lineRule="auto"/>
        <w:ind w:left="-567" w:right="-568" w:firstLine="284"/>
        <w:jc w:val="both"/>
        <w:rPr>
          <w:rFonts w:ascii="Times New Roman" w:hAnsi="Times New Roman" w:cs="Times New Roman"/>
          <w:sz w:val="22"/>
          <w:szCs w:val="22"/>
          <w:lang w:val="es-ES"/>
        </w:rPr>
      </w:pPr>
      <w:r w:rsidRPr="00C0059B">
        <w:rPr>
          <w:rFonts w:ascii="Times New Roman" w:hAnsi="Times New Roman" w:cs="Times New Roman"/>
          <w:sz w:val="22"/>
          <w:szCs w:val="22"/>
          <w:lang w:val="es-ES"/>
        </w:rPr>
        <w:t>Bien mirado, se trata de una serie de medidas e innovaciones oportunas respecto de las cuales el legislador italiano se ha mostrado ya sensible</w:t>
      </w:r>
      <w:r w:rsidRPr="00C0059B">
        <w:rPr>
          <w:rStyle w:val="Rimandonotaapidipagina"/>
          <w:rFonts w:ascii="Times New Roman" w:hAnsi="Times New Roman" w:cs="Times New Roman"/>
          <w:sz w:val="22"/>
          <w:szCs w:val="22"/>
          <w:lang w:val="es-ES"/>
        </w:rPr>
        <w:footnoteReference w:id="34"/>
      </w:r>
      <w:r w:rsidR="00E81F80" w:rsidRPr="00C0059B">
        <w:rPr>
          <w:rFonts w:ascii="Times New Roman" w:hAnsi="Times New Roman" w:cs="Times New Roman"/>
          <w:sz w:val="22"/>
          <w:szCs w:val="22"/>
          <w:lang w:val="es-ES"/>
        </w:rPr>
        <w:t xml:space="preserve"> y cuya realización se integra en buena medida en las tareas que la Convención de Estambul confía a cada Estado, habiéndose verificado su utilidad en aquellos países que ya las han adoptado</w:t>
      </w:r>
      <w:r w:rsidR="00E81F80" w:rsidRPr="00C0059B">
        <w:rPr>
          <w:rStyle w:val="Rimandonotaapidipagina"/>
          <w:rFonts w:ascii="Times New Roman" w:hAnsi="Times New Roman" w:cs="Times New Roman"/>
          <w:sz w:val="22"/>
          <w:szCs w:val="22"/>
          <w:lang w:val="es-ES"/>
        </w:rPr>
        <w:footnoteReference w:id="35"/>
      </w:r>
      <w:r w:rsidR="00E81F80" w:rsidRPr="00C0059B">
        <w:rPr>
          <w:rFonts w:ascii="Times New Roman" w:hAnsi="Times New Roman" w:cs="Times New Roman"/>
          <w:sz w:val="22"/>
          <w:szCs w:val="22"/>
          <w:lang w:val="es-ES"/>
        </w:rPr>
        <w:t>. Así pues, no podemos sino desear que haya llegado el momento de mejorar desde todas las perspectivas la respuesta que el sistema</w:t>
      </w:r>
      <w:r w:rsidR="00084751" w:rsidRPr="00C0059B">
        <w:rPr>
          <w:rFonts w:ascii="Times New Roman" w:hAnsi="Times New Roman" w:cs="Times New Roman"/>
          <w:sz w:val="22"/>
          <w:szCs w:val="22"/>
          <w:lang w:val="es-ES"/>
        </w:rPr>
        <w:t xml:space="preserve"> italiano</w:t>
      </w:r>
      <w:r w:rsidR="00E81F80" w:rsidRPr="00C0059B">
        <w:rPr>
          <w:rFonts w:ascii="Times New Roman" w:hAnsi="Times New Roman" w:cs="Times New Roman"/>
          <w:sz w:val="22"/>
          <w:szCs w:val="22"/>
          <w:lang w:val="es-ES"/>
        </w:rPr>
        <w:t xml:space="preserve"> de justicia penal ofrece las mujeres, gracias al paso del testigo a las instituciones (servicios sociales, fuerzas del orden, magistratura) después de que durante muchos años, demasiados, se haya dejado solapadamente en manos de las víctimas. Un cambio que podría en verdad contribuir a una transformación cultural a largo plazo, permitiendo a las mujeres no seguir experimentando obstáculos e inhibiciones a la hora de denunciar la violencia sufrida, del tipo que sea y sea quien sea el autor</w:t>
      </w:r>
      <w:r w:rsidR="00BF06DA" w:rsidRPr="00C0059B">
        <w:rPr>
          <w:rFonts w:ascii="Times New Roman" w:hAnsi="Times New Roman" w:cs="Times New Roman"/>
          <w:sz w:val="22"/>
          <w:szCs w:val="22"/>
          <w:lang w:val="es-ES"/>
        </w:rPr>
        <w:t>,</w:t>
      </w:r>
      <w:r w:rsidR="00E81F80" w:rsidRPr="00C0059B">
        <w:rPr>
          <w:rFonts w:ascii="Times New Roman" w:hAnsi="Times New Roman" w:cs="Times New Roman"/>
          <w:sz w:val="22"/>
          <w:szCs w:val="22"/>
          <w:lang w:val="es-ES"/>
        </w:rPr>
        <w:t xml:space="preserve"> y haciendo saber a los hombres que dicha violencia no quedará impune</w:t>
      </w:r>
      <w:r w:rsidR="00E81F80" w:rsidRPr="00C0059B">
        <w:rPr>
          <w:rStyle w:val="Rimandonotaapidipagina"/>
          <w:rFonts w:ascii="Times New Roman" w:hAnsi="Times New Roman" w:cs="Times New Roman"/>
          <w:sz w:val="22"/>
          <w:szCs w:val="22"/>
          <w:lang w:val="es-ES"/>
        </w:rPr>
        <w:footnoteReference w:id="36"/>
      </w:r>
      <w:r w:rsidR="00C0059B">
        <w:rPr>
          <w:rFonts w:ascii="Times New Roman" w:hAnsi="Times New Roman" w:cs="Times New Roman"/>
          <w:sz w:val="22"/>
          <w:szCs w:val="22"/>
          <w:lang w:val="es-ES"/>
        </w:rPr>
        <w:t>.</w:t>
      </w:r>
    </w:p>
    <w:p w:rsidR="00256DDD" w:rsidRDefault="00256DDD" w:rsidP="00CA7749">
      <w:pPr>
        <w:spacing w:line="360" w:lineRule="auto"/>
        <w:ind w:left="-567" w:right="-568" w:firstLine="284"/>
        <w:jc w:val="both"/>
        <w:rPr>
          <w:rFonts w:ascii="Times New Roman" w:hAnsi="Times New Roman" w:cs="Times New Roman"/>
          <w:sz w:val="22"/>
          <w:szCs w:val="22"/>
          <w:lang w:val="es-ES"/>
        </w:rPr>
      </w:pPr>
    </w:p>
    <w:p w:rsidR="00256DDD" w:rsidRDefault="00256DDD" w:rsidP="00256DDD">
      <w:pPr>
        <w:ind w:left="-567" w:right="-568"/>
        <w:jc w:val="center"/>
        <w:rPr>
          <w:rStyle w:val="MacchinadascrivereHTML"/>
          <w:rFonts w:ascii="Times New Roman" w:eastAsia="Calibri" w:hAnsi="Times New Roman" w:cs="Times New Roman"/>
          <w:sz w:val="22"/>
          <w:szCs w:val="22"/>
          <w:lang w:val="it-IT"/>
        </w:rPr>
      </w:pPr>
      <w:r>
        <w:rPr>
          <w:rStyle w:val="MacchinadascrivereHTML"/>
          <w:rFonts w:ascii="Times New Roman" w:eastAsia="Calibri" w:hAnsi="Times New Roman" w:cs="Times New Roman"/>
          <w:sz w:val="22"/>
          <w:szCs w:val="22"/>
          <w:lang w:val="it-IT"/>
        </w:rPr>
        <w:t>Clau</w:t>
      </w:r>
      <w:r>
        <w:rPr>
          <w:rStyle w:val="MacchinadascrivereHTML"/>
          <w:rFonts w:ascii="Times New Roman" w:eastAsia="Calibri" w:hAnsi="Times New Roman" w:cs="Times New Roman"/>
          <w:sz w:val="22"/>
          <w:szCs w:val="22"/>
          <w:lang w:val="it-IT"/>
        </w:rPr>
        <w:t>dia Pecorella</w:t>
      </w:r>
    </w:p>
    <w:p w:rsidR="00256DDD" w:rsidRDefault="00256DDD" w:rsidP="00256DDD">
      <w:pPr>
        <w:ind w:left="-567" w:right="-568"/>
        <w:jc w:val="center"/>
        <w:rPr>
          <w:rStyle w:val="MacchinadascrivereHTML"/>
          <w:rFonts w:ascii="Times New Roman" w:eastAsia="Calibri" w:hAnsi="Times New Roman" w:cs="Times New Roman"/>
          <w:sz w:val="22"/>
          <w:szCs w:val="22"/>
          <w:lang w:val="it-IT"/>
        </w:rPr>
      </w:pPr>
      <w:proofErr w:type="spellStart"/>
      <w:r>
        <w:rPr>
          <w:rStyle w:val="MacchinadascrivereHTML"/>
          <w:rFonts w:ascii="Times New Roman" w:eastAsia="Calibri" w:hAnsi="Times New Roman" w:cs="Times New Roman"/>
          <w:sz w:val="22"/>
          <w:szCs w:val="22"/>
          <w:lang w:val="it-IT"/>
        </w:rPr>
        <w:t>Catedratica</w:t>
      </w:r>
      <w:proofErr w:type="spellEnd"/>
      <w:r>
        <w:rPr>
          <w:rStyle w:val="MacchinadascrivereHTML"/>
          <w:rFonts w:ascii="Times New Roman" w:eastAsia="Calibri" w:hAnsi="Times New Roman" w:cs="Times New Roman"/>
          <w:sz w:val="22"/>
          <w:szCs w:val="22"/>
          <w:lang w:val="it-IT"/>
        </w:rPr>
        <w:t xml:space="preserve"> de </w:t>
      </w:r>
      <w:proofErr w:type="spellStart"/>
      <w:r>
        <w:rPr>
          <w:rStyle w:val="MacchinadascrivereHTML"/>
          <w:rFonts w:ascii="Times New Roman" w:eastAsia="Calibri" w:hAnsi="Times New Roman" w:cs="Times New Roman"/>
          <w:sz w:val="22"/>
          <w:szCs w:val="22"/>
          <w:lang w:val="it-IT"/>
        </w:rPr>
        <w:t>Derecho</w:t>
      </w:r>
      <w:proofErr w:type="spellEnd"/>
      <w:r>
        <w:rPr>
          <w:rStyle w:val="MacchinadascrivereHTML"/>
          <w:rFonts w:ascii="Times New Roman" w:eastAsia="Calibri" w:hAnsi="Times New Roman" w:cs="Times New Roman"/>
          <w:sz w:val="22"/>
          <w:szCs w:val="22"/>
          <w:lang w:val="it-IT"/>
        </w:rPr>
        <w:t xml:space="preserve"> Penal</w:t>
      </w:r>
      <w:bookmarkStart w:id="0" w:name="_GoBack"/>
      <w:bookmarkEnd w:id="0"/>
      <w:r>
        <w:rPr>
          <w:rStyle w:val="MacchinadascrivereHTML"/>
          <w:rFonts w:ascii="Times New Roman" w:eastAsia="Calibri" w:hAnsi="Times New Roman" w:cs="Times New Roman"/>
          <w:sz w:val="22"/>
          <w:szCs w:val="22"/>
          <w:lang w:val="it-IT"/>
        </w:rPr>
        <w:t xml:space="preserve"> </w:t>
      </w:r>
    </w:p>
    <w:p w:rsidR="00256DDD" w:rsidRPr="00135D91" w:rsidRDefault="00256DDD" w:rsidP="00256DDD">
      <w:pPr>
        <w:ind w:left="-567" w:right="-568"/>
        <w:jc w:val="center"/>
        <w:rPr>
          <w:rStyle w:val="MacchinadascrivereHTML"/>
          <w:rFonts w:ascii="Times New Roman" w:eastAsia="Calibri" w:hAnsi="Times New Roman" w:cs="Times New Roman"/>
          <w:sz w:val="22"/>
          <w:szCs w:val="22"/>
          <w:lang w:val="it-IT"/>
        </w:rPr>
      </w:pPr>
      <w:proofErr w:type="spellStart"/>
      <w:r>
        <w:rPr>
          <w:rStyle w:val="MacchinadascrivereHTML"/>
          <w:rFonts w:ascii="Times New Roman" w:eastAsia="Calibri" w:hAnsi="Times New Roman" w:cs="Times New Roman"/>
          <w:sz w:val="22"/>
          <w:szCs w:val="22"/>
          <w:lang w:val="it-IT"/>
        </w:rPr>
        <w:t>Universidad</w:t>
      </w:r>
      <w:proofErr w:type="spellEnd"/>
      <w:r>
        <w:rPr>
          <w:rStyle w:val="MacchinadascrivereHTML"/>
          <w:rFonts w:ascii="Times New Roman" w:eastAsia="Calibri" w:hAnsi="Times New Roman" w:cs="Times New Roman"/>
          <w:sz w:val="22"/>
          <w:szCs w:val="22"/>
          <w:lang w:val="it-IT"/>
        </w:rPr>
        <w:t xml:space="preserve"> de Milano-Bicocca</w:t>
      </w:r>
    </w:p>
    <w:p w:rsidR="00256DDD" w:rsidRPr="00256DDD" w:rsidRDefault="00256DDD" w:rsidP="00256DDD">
      <w:pPr>
        <w:spacing w:line="360" w:lineRule="auto"/>
        <w:ind w:right="-568"/>
        <w:jc w:val="both"/>
        <w:rPr>
          <w:rFonts w:ascii="Times New Roman" w:hAnsi="Times New Roman" w:cs="Times New Roman"/>
          <w:sz w:val="22"/>
          <w:szCs w:val="22"/>
          <w:lang w:val="it-IT"/>
        </w:rPr>
      </w:pPr>
    </w:p>
    <w:p w:rsidR="00DC11A4" w:rsidRPr="00C0059B" w:rsidRDefault="00DC11A4" w:rsidP="00CA7749">
      <w:pPr>
        <w:spacing w:line="360" w:lineRule="auto"/>
        <w:ind w:left="-567" w:right="-568" w:firstLine="284"/>
        <w:jc w:val="both"/>
        <w:rPr>
          <w:rFonts w:ascii="Times New Roman" w:hAnsi="Times New Roman" w:cs="Times New Roman"/>
          <w:sz w:val="22"/>
          <w:szCs w:val="22"/>
          <w:lang w:val="es-ES"/>
        </w:rPr>
      </w:pPr>
    </w:p>
    <w:sectPr w:rsidR="00DC11A4" w:rsidRPr="00C0059B">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614D" w:rsidRDefault="008E614D" w:rsidP="00981AC1">
      <w:r>
        <w:separator/>
      </w:r>
    </w:p>
  </w:endnote>
  <w:endnote w:type="continuationSeparator" w:id="0">
    <w:p w:rsidR="008E614D" w:rsidRDefault="008E614D" w:rsidP="00981A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614D" w:rsidRDefault="008E614D" w:rsidP="00981AC1">
      <w:r>
        <w:separator/>
      </w:r>
    </w:p>
  </w:footnote>
  <w:footnote w:type="continuationSeparator" w:id="0">
    <w:p w:rsidR="008E614D" w:rsidRDefault="008E614D" w:rsidP="00981AC1">
      <w:r>
        <w:continuationSeparator/>
      </w:r>
    </w:p>
  </w:footnote>
  <w:footnote w:id="1">
    <w:p w:rsidR="0097327A" w:rsidRDefault="00934282" w:rsidP="00A8559F">
      <w:pPr>
        <w:pStyle w:val="Testonotaapidipagina"/>
        <w:numPr>
          <w:ilvl w:val="0"/>
          <w:numId w:val="3"/>
        </w:numPr>
        <w:jc w:val="both"/>
        <w:rPr>
          <w:rFonts w:ascii="Times New Roman" w:hAnsi="Times New Roman" w:cs="Times New Roman"/>
          <w:lang w:val="es-ES"/>
        </w:rPr>
      </w:pPr>
      <w:r>
        <w:rPr>
          <w:rFonts w:ascii="Times New Roman" w:hAnsi="Times New Roman" w:cs="Times New Roman"/>
          <w:lang w:val="es-ES"/>
        </w:rPr>
        <w:t>Traducido por</w:t>
      </w:r>
      <w:r w:rsidR="00702ECE">
        <w:rPr>
          <w:rFonts w:ascii="Times New Roman" w:hAnsi="Times New Roman" w:cs="Times New Roman"/>
          <w:lang w:val="es-ES"/>
        </w:rPr>
        <w:t xml:space="preserve"> la</w:t>
      </w:r>
      <w:r w:rsidR="006E62BE">
        <w:rPr>
          <w:rFonts w:ascii="Times New Roman" w:hAnsi="Times New Roman" w:cs="Times New Roman"/>
          <w:lang w:val="es-ES"/>
        </w:rPr>
        <w:t xml:space="preserve"> prof. Patricia Faraldo Cabana.</w:t>
      </w:r>
    </w:p>
    <w:p w:rsidR="00981AC1" w:rsidRPr="00933313" w:rsidRDefault="00981AC1" w:rsidP="00582DC7">
      <w:pPr>
        <w:pStyle w:val="Testonotaapidipagina"/>
        <w:ind w:left="-567"/>
        <w:jc w:val="both"/>
        <w:rPr>
          <w:rFonts w:ascii="Times New Roman" w:hAnsi="Times New Roman" w:cs="Times New Roman"/>
          <w:lang w:val="es-ES"/>
        </w:rPr>
      </w:pPr>
      <w:r w:rsidRPr="00933313">
        <w:rPr>
          <w:rStyle w:val="Rimandonotaapidipagina"/>
          <w:rFonts w:ascii="Times New Roman" w:hAnsi="Times New Roman" w:cs="Times New Roman"/>
        </w:rPr>
        <w:footnoteRef/>
      </w:r>
      <w:r w:rsidRPr="00933313">
        <w:rPr>
          <w:rFonts w:ascii="Times New Roman" w:hAnsi="Times New Roman" w:cs="Times New Roman"/>
          <w:lang w:val="es-ES"/>
        </w:rPr>
        <w:t xml:space="preserve"> En este sentido, por todos, M. Virgilio, “La legge “sul feminicidio””, M@gm@, 12(2014), p. 1.</w:t>
      </w:r>
    </w:p>
  </w:footnote>
  <w:footnote w:id="2">
    <w:p w:rsidR="002E74C5" w:rsidRPr="00933313" w:rsidRDefault="002E74C5" w:rsidP="00582DC7">
      <w:pPr>
        <w:pStyle w:val="Testonotaapidipagina"/>
        <w:ind w:left="-567"/>
        <w:jc w:val="both"/>
        <w:rPr>
          <w:rFonts w:ascii="Times New Roman" w:hAnsi="Times New Roman" w:cs="Times New Roman"/>
          <w:lang w:val="es-ES"/>
        </w:rPr>
      </w:pPr>
      <w:r w:rsidRPr="00933313">
        <w:rPr>
          <w:rStyle w:val="Rimandonotaapidipagina"/>
          <w:rFonts w:ascii="Times New Roman" w:hAnsi="Times New Roman" w:cs="Times New Roman"/>
        </w:rPr>
        <w:footnoteRef/>
      </w:r>
      <w:r w:rsidRPr="00933313">
        <w:rPr>
          <w:rFonts w:ascii="Times New Roman" w:hAnsi="Times New Roman" w:cs="Times New Roman"/>
          <w:lang w:val="es-ES"/>
        </w:rPr>
        <w:t xml:space="preserve"> Cfr. Tribunal Europeo de Derechos Humanos, 9 de junio de 2009, Opuz c. Turquía.</w:t>
      </w:r>
    </w:p>
  </w:footnote>
  <w:footnote w:id="3">
    <w:p w:rsidR="00D14B0A" w:rsidRPr="00933313" w:rsidRDefault="002E74C5" w:rsidP="00582DC7">
      <w:pPr>
        <w:pStyle w:val="Testonotaapidipagina"/>
        <w:ind w:left="-567" w:right="-568"/>
        <w:jc w:val="both"/>
        <w:rPr>
          <w:rFonts w:ascii="Times New Roman" w:hAnsi="Times New Roman" w:cs="Times New Roman"/>
          <w:lang w:val="it-IT"/>
        </w:rPr>
      </w:pPr>
      <w:r w:rsidRPr="00933313">
        <w:rPr>
          <w:rStyle w:val="Rimandonotaapidipagina"/>
          <w:rFonts w:ascii="Times New Roman" w:hAnsi="Times New Roman" w:cs="Times New Roman"/>
        </w:rPr>
        <w:footnoteRef/>
      </w:r>
      <w:r w:rsidRPr="00933313">
        <w:rPr>
          <w:rFonts w:ascii="Times New Roman" w:hAnsi="Times New Roman" w:cs="Times New Roman"/>
          <w:lang w:val="es-ES"/>
        </w:rPr>
        <w:t xml:space="preserve"> Así, Tribunal de Justicia UE, Sección Cuarta, 15 de septiembre de 2011,  asuntos acumulados C-483/09 y C-1/10, Magatte Gueye y Valentín Salmerón Sánchez; al respecto vid. </w:t>
      </w:r>
      <w:r w:rsidRPr="00933313">
        <w:rPr>
          <w:rFonts w:ascii="Times New Roman" w:hAnsi="Times New Roman" w:cs="Times New Roman"/>
          <w:lang w:val="it-IT"/>
        </w:rPr>
        <w:t xml:space="preserve">A. Pisapia, “La protezione europea garantita alle vittime della violenza domestica”, </w:t>
      </w:r>
      <w:r w:rsidRPr="00933313">
        <w:rPr>
          <w:rFonts w:ascii="Times New Roman" w:hAnsi="Times New Roman" w:cs="Times New Roman"/>
          <w:i/>
          <w:lang w:val="it-IT"/>
        </w:rPr>
        <w:t>Cassazione penale</w:t>
      </w:r>
      <w:r w:rsidRPr="00933313">
        <w:rPr>
          <w:rFonts w:ascii="Times New Roman" w:hAnsi="Times New Roman" w:cs="Times New Roman"/>
          <w:lang w:val="it-IT"/>
        </w:rPr>
        <w:t xml:space="preserve"> (2014), pp. 1871 s.; D. Vozza, “La “saga” della giurisprudenza europea sulla tutela della vittima nel procedimento penale continua con la sentenza </w:t>
      </w:r>
      <w:proofErr w:type="spellStart"/>
      <w:r w:rsidRPr="00933313">
        <w:rPr>
          <w:rFonts w:ascii="Times New Roman" w:hAnsi="Times New Roman" w:cs="Times New Roman"/>
          <w:lang w:val="it-IT"/>
        </w:rPr>
        <w:t>Gueye</w:t>
      </w:r>
      <w:proofErr w:type="spellEnd"/>
      <w:r w:rsidRPr="00933313">
        <w:rPr>
          <w:rFonts w:ascii="Times New Roman" w:hAnsi="Times New Roman" w:cs="Times New Roman"/>
          <w:lang w:val="it-IT"/>
        </w:rPr>
        <w:t xml:space="preserve">”, </w:t>
      </w:r>
      <w:hyperlink r:id="rId1" w:history="1">
        <w:r w:rsidR="00D14B0A" w:rsidRPr="00933313">
          <w:rPr>
            <w:rStyle w:val="Collegamentoipertestuale"/>
            <w:rFonts w:ascii="Times New Roman" w:hAnsi="Times New Roman" w:cs="Times New Roman"/>
            <w:lang w:val="it-IT"/>
          </w:rPr>
          <w:t>www.penalecontemporaneo.it</w:t>
        </w:r>
      </w:hyperlink>
      <w:r w:rsidR="00D14B0A" w:rsidRPr="00933313">
        <w:rPr>
          <w:rFonts w:ascii="Times New Roman" w:hAnsi="Times New Roman" w:cs="Times New Roman"/>
          <w:lang w:val="it-IT"/>
        </w:rPr>
        <w:t xml:space="preserve">. </w:t>
      </w:r>
    </w:p>
  </w:footnote>
  <w:footnote w:id="4">
    <w:p w:rsidR="00D14B0A" w:rsidRPr="00933313" w:rsidRDefault="00D14B0A" w:rsidP="00582DC7">
      <w:pPr>
        <w:pStyle w:val="Testonotaapidipagina"/>
        <w:ind w:left="-567" w:right="-568"/>
        <w:jc w:val="both"/>
        <w:rPr>
          <w:rFonts w:ascii="Times New Roman" w:hAnsi="Times New Roman" w:cs="Times New Roman"/>
          <w:lang w:val="es-ES"/>
        </w:rPr>
      </w:pPr>
      <w:r w:rsidRPr="00933313">
        <w:rPr>
          <w:rStyle w:val="Rimandonotaapidipagina"/>
          <w:rFonts w:ascii="Times New Roman" w:hAnsi="Times New Roman" w:cs="Times New Roman"/>
        </w:rPr>
        <w:footnoteRef/>
      </w:r>
      <w:r w:rsidRPr="00933313">
        <w:rPr>
          <w:rFonts w:ascii="Times New Roman" w:hAnsi="Times New Roman" w:cs="Times New Roman"/>
          <w:lang w:val="it-IT"/>
        </w:rPr>
        <w:t xml:space="preserve"> Así G. Creazzo, “Violenze contro le donne nelle relazioni di intimità e risposte del sistema penale”, en G. Creazzo (a cura di), </w:t>
      </w:r>
      <w:r w:rsidRPr="00933313">
        <w:rPr>
          <w:rFonts w:ascii="Times New Roman" w:hAnsi="Times New Roman" w:cs="Times New Roman"/>
          <w:i/>
          <w:lang w:val="it-IT"/>
        </w:rPr>
        <w:t xml:space="preserve">Se le donne chiedono giustizia. </w:t>
      </w:r>
      <w:r w:rsidRPr="00933313">
        <w:rPr>
          <w:rFonts w:ascii="Times New Roman" w:hAnsi="Times New Roman" w:cs="Times New Roman"/>
          <w:i/>
          <w:lang w:val="es-ES"/>
        </w:rPr>
        <w:t>Le risposte del sistema penale alle donne che subiscono violenza nelle relazioni di intimità: ricerca e prospettive internazionali</w:t>
      </w:r>
      <w:r w:rsidRPr="00933313">
        <w:rPr>
          <w:rFonts w:ascii="Times New Roman" w:hAnsi="Times New Roman" w:cs="Times New Roman"/>
          <w:lang w:val="es-ES"/>
        </w:rPr>
        <w:t>, Boloña, Il Mulino, 2012, p. 24, en relación con la experiencia de Minnesota, donde se ha considerado necesario confiar en el sistema penal en la lucha contra la violencia doméstica, atribuyendo únicamente a las fuerzas del orden la tarea de “aplicar la ley y perseguir a los agresores”, sin tener que “preguntar a las mujeres qué debían hacer”.</w:t>
      </w:r>
    </w:p>
  </w:footnote>
  <w:footnote w:id="5">
    <w:p w:rsidR="004449A9" w:rsidRPr="00933313" w:rsidRDefault="004449A9" w:rsidP="00582DC7">
      <w:pPr>
        <w:pStyle w:val="Testonotaapidipagina"/>
        <w:ind w:left="-567" w:right="-568"/>
        <w:jc w:val="both"/>
        <w:rPr>
          <w:rFonts w:ascii="Times New Roman" w:hAnsi="Times New Roman" w:cs="Times New Roman"/>
          <w:lang w:val="it-IT"/>
        </w:rPr>
      </w:pPr>
      <w:r w:rsidRPr="00933313">
        <w:rPr>
          <w:rStyle w:val="Rimandonotaapidipagina"/>
          <w:rFonts w:ascii="Times New Roman" w:hAnsi="Times New Roman" w:cs="Times New Roman"/>
        </w:rPr>
        <w:footnoteRef/>
      </w:r>
      <w:r w:rsidRPr="00933313">
        <w:rPr>
          <w:rFonts w:ascii="Times New Roman" w:hAnsi="Times New Roman" w:cs="Times New Roman"/>
          <w:lang w:val="es-ES"/>
        </w:rPr>
        <w:t xml:space="preserve"> En</w:t>
      </w:r>
      <w:r w:rsidR="008F1A19" w:rsidRPr="00933313">
        <w:rPr>
          <w:rFonts w:ascii="Times New Roman" w:hAnsi="Times New Roman" w:cs="Times New Roman"/>
          <w:lang w:val="es-ES"/>
        </w:rPr>
        <w:t xml:space="preserve"> el sentido de que la imposi</w:t>
      </w:r>
      <w:r w:rsidRPr="00933313">
        <w:rPr>
          <w:rFonts w:ascii="Times New Roman" w:hAnsi="Times New Roman" w:cs="Times New Roman"/>
          <w:lang w:val="es-ES"/>
        </w:rPr>
        <w:t xml:space="preserve">bilidad de </w:t>
      </w:r>
      <w:r w:rsidR="008F1A19" w:rsidRPr="00933313">
        <w:rPr>
          <w:rFonts w:ascii="Times New Roman" w:hAnsi="Times New Roman" w:cs="Times New Roman"/>
          <w:lang w:val="es-ES"/>
        </w:rPr>
        <w:t xml:space="preserve">retirada de </w:t>
      </w:r>
      <w:r w:rsidRPr="00933313">
        <w:rPr>
          <w:rFonts w:ascii="Times New Roman" w:hAnsi="Times New Roman" w:cs="Times New Roman"/>
          <w:lang w:val="es-ES"/>
        </w:rPr>
        <w:t xml:space="preserve">la querella por el delito de </w:t>
      </w:r>
      <w:r w:rsidRPr="00933313">
        <w:rPr>
          <w:rFonts w:ascii="Times New Roman" w:hAnsi="Times New Roman" w:cs="Times New Roman"/>
          <w:i/>
          <w:lang w:val="es-ES"/>
        </w:rPr>
        <w:t>stalking</w:t>
      </w:r>
      <w:r w:rsidRPr="00933313">
        <w:rPr>
          <w:rFonts w:ascii="Times New Roman" w:hAnsi="Times New Roman" w:cs="Times New Roman"/>
          <w:lang w:val="es-ES"/>
        </w:rPr>
        <w:t xml:space="preserve">, originariamente prevista por el d.l. 93/2013, fue “un acto de violencia del Estado, que expropiaba a la mujer la elección de proseguir o no el proceso”, E. Lo Monte, “Repetita (non) iuvant: una riflessione “a caldo” sulle disposizioni penali di cui al recente d.l. n. 93/13, con. </w:t>
      </w:r>
      <w:r w:rsidRPr="00933313">
        <w:rPr>
          <w:rFonts w:ascii="Times New Roman" w:hAnsi="Times New Roman" w:cs="Times New Roman"/>
          <w:lang w:val="it-IT"/>
        </w:rPr>
        <w:t>In l. n. 119/13, in tema di “</w:t>
      </w:r>
      <w:proofErr w:type="spellStart"/>
      <w:r w:rsidRPr="00933313">
        <w:rPr>
          <w:rFonts w:ascii="Times New Roman" w:hAnsi="Times New Roman" w:cs="Times New Roman"/>
          <w:lang w:val="it-IT"/>
        </w:rPr>
        <w:t>femminicidio</w:t>
      </w:r>
      <w:proofErr w:type="spellEnd"/>
      <w:r w:rsidRPr="00933313">
        <w:rPr>
          <w:rFonts w:ascii="Times New Roman" w:hAnsi="Times New Roman" w:cs="Times New Roman"/>
          <w:lang w:val="it-IT"/>
        </w:rPr>
        <w:t xml:space="preserve">””, </w:t>
      </w:r>
      <w:hyperlink r:id="rId2" w:history="1">
        <w:r w:rsidRPr="00933313">
          <w:rPr>
            <w:rStyle w:val="Collegamentoipertestuale"/>
            <w:rFonts w:ascii="Times New Roman" w:hAnsi="Times New Roman" w:cs="Times New Roman"/>
            <w:lang w:val="it-IT"/>
          </w:rPr>
          <w:t>www.penalecontemporaneo.it</w:t>
        </w:r>
      </w:hyperlink>
      <w:r w:rsidRPr="00933313">
        <w:rPr>
          <w:rFonts w:ascii="Times New Roman" w:hAnsi="Times New Roman" w:cs="Times New Roman"/>
          <w:lang w:val="it-IT"/>
        </w:rPr>
        <w:t>, p. 12.</w:t>
      </w:r>
    </w:p>
  </w:footnote>
  <w:footnote w:id="6">
    <w:p w:rsidR="00F51B7B" w:rsidRPr="00933313" w:rsidRDefault="00F51B7B" w:rsidP="00582DC7">
      <w:pPr>
        <w:pStyle w:val="Testonotaapidipagina"/>
        <w:ind w:left="-567" w:right="-568"/>
        <w:jc w:val="both"/>
        <w:rPr>
          <w:rFonts w:ascii="Times New Roman" w:hAnsi="Times New Roman" w:cs="Times New Roman"/>
          <w:lang w:val="it-IT"/>
        </w:rPr>
      </w:pPr>
      <w:r w:rsidRPr="00933313">
        <w:rPr>
          <w:rStyle w:val="Rimandonotaapidipagina"/>
          <w:rFonts w:ascii="Times New Roman" w:hAnsi="Times New Roman" w:cs="Times New Roman"/>
        </w:rPr>
        <w:footnoteRef/>
      </w:r>
      <w:r w:rsidRPr="00933313">
        <w:rPr>
          <w:rFonts w:ascii="Times New Roman" w:hAnsi="Times New Roman" w:cs="Times New Roman"/>
          <w:lang w:val="it-IT"/>
        </w:rPr>
        <w:t xml:space="preserve"> Así, F. Giunta, </w:t>
      </w:r>
      <w:r w:rsidRPr="00933313">
        <w:rPr>
          <w:rFonts w:ascii="Times New Roman" w:hAnsi="Times New Roman" w:cs="Times New Roman"/>
          <w:i/>
          <w:lang w:val="it-IT"/>
        </w:rPr>
        <w:t>Interessi privati e deflazione penale nell’uso della querela</w:t>
      </w:r>
      <w:r w:rsidRPr="00933313">
        <w:rPr>
          <w:rFonts w:ascii="Times New Roman" w:hAnsi="Times New Roman" w:cs="Times New Roman"/>
          <w:lang w:val="it-IT"/>
        </w:rPr>
        <w:t>, Milán, Giuffrè, 1993, p. 39.</w:t>
      </w:r>
    </w:p>
  </w:footnote>
  <w:footnote w:id="7">
    <w:p w:rsidR="00F51B7B" w:rsidRPr="00E81F80" w:rsidRDefault="00F51B7B" w:rsidP="00582DC7">
      <w:pPr>
        <w:pStyle w:val="Testonotaapidipagina"/>
        <w:ind w:left="-567" w:right="-568"/>
        <w:jc w:val="both"/>
        <w:rPr>
          <w:rFonts w:ascii="Times New Roman" w:hAnsi="Times New Roman" w:cs="Times New Roman"/>
          <w:sz w:val="22"/>
          <w:szCs w:val="22"/>
          <w:lang w:val="it-IT"/>
        </w:rPr>
      </w:pPr>
      <w:r w:rsidRPr="00933313">
        <w:rPr>
          <w:rStyle w:val="Rimandonotaapidipagina"/>
          <w:rFonts w:ascii="Times New Roman" w:hAnsi="Times New Roman" w:cs="Times New Roman"/>
        </w:rPr>
        <w:footnoteRef/>
      </w:r>
      <w:r w:rsidRPr="00933313">
        <w:rPr>
          <w:rFonts w:ascii="Times New Roman" w:hAnsi="Times New Roman" w:cs="Times New Roman"/>
          <w:lang w:val="it-IT"/>
        </w:rPr>
        <w:t xml:space="preserve"> Así, F. Giunta </w:t>
      </w:r>
      <w:r w:rsidRPr="00933313">
        <w:rPr>
          <w:rFonts w:ascii="Times New Roman" w:hAnsi="Times New Roman" w:cs="Times New Roman"/>
          <w:i/>
          <w:lang w:val="it-IT"/>
        </w:rPr>
        <w:t>op. cit</w:t>
      </w:r>
      <w:r w:rsidRPr="00933313">
        <w:rPr>
          <w:rFonts w:ascii="Times New Roman" w:hAnsi="Times New Roman" w:cs="Times New Roman"/>
          <w:lang w:val="it-IT"/>
        </w:rPr>
        <w:t>., p. 7.</w:t>
      </w:r>
    </w:p>
  </w:footnote>
  <w:footnote w:id="8">
    <w:p w:rsidR="00BE678E" w:rsidRPr="00933313" w:rsidRDefault="00BE678E" w:rsidP="00582DC7">
      <w:pPr>
        <w:pStyle w:val="Testonotaapidipagina"/>
        <w:ind w:left="-567" w:right="-568"/>
        <w:jc w:val="both"/>
        <w:rPr>
          <w:rFonts w:ascii="Times New Roman" w:hAnsi="Times New Roman" w:cs="Times New Roman"/>
          <w:lang w:val="es-ES"/>
        </w:rPr>
      </w:pPr>
      <w:r w:rsidRPr="00933313">
        <w:rPr>
          <w:rStyle w:val="Rimandonotaapidipagina"/>
          <w:rFonts w:ascii="Times New Roman" w:hAnsi="Times New Roman" w:cs="Times New Roman"/>
        </w:rPr>
        <w:footnoteRef/>
      </w:r>
      <w:r w:rsidRPr="00933313">
        <w:rPr>
          <w:rFonts w:ascii="Times New Roman" w:hAnsi="Times New Roman" w:cs="Times New Roman"/>
          <w:lang w:val="es-ES"/>
        </w:rPr>
        <w:t xml:space="preserve"> Cfr. al respecto, incluyendo las necesarias referencias normativas, F. Giunta </w:t>
      </w:r>
      <w:r w:rsidRPr="00933313">
        <w:rPr>
          <w:rFonts w:ascii="Times New Roman" w:hAnsi="Times New Roman" w:cs="Times New Roman"/>
          <w:i/>
          <w:lang w:val="es-ES"/>
        </w:rPr>
        <w:t>op. cit</w:t>
      </w:r>
      <w:r w:rsidRPr="00933313">
        <w:rPr>
          <w:rFonts w:ascii="Times New Roman" w:hAnsi="Times New Roman" w:cs="Times New Roman"/>
          <w:lang w:val="es-ES"/>
        </w:rPr>
        <w:t>., pp. 7 s.</w:t>
      </w:r>
    </w:p>
  </w:footnote>
  <w:footnote w:id="9">
    <w:p w:rsidR="00D84A1C" w:rsidRPr="00E81F80" w:rsidRDefault="00D84A1C" w:rsidP="00582DC7">
      <w:pPr>
        <w:pStyle w:val="Testonotaapidipagina"/>
        <w:ind w:left="-567" w:right="-568"/>
        <w:jc w:val="both"/>
        <w:rPr>
          <w:rFonts w:ascii="Times New Roman" w:hAnsi="Times New Roman" w:cs="Times New Roman"/>
          <w:sz w:val="22"/>
          <w:szCs w:val="22"/>
          <w:lang w:val="it-IT"/>
        </w:rPr>
      </w:pPr>
      <w:r w:rsidRPr="00933313">
        <w:rPr>
          <w:rStyle w:val="Rimandonotaapidipagina"/>
          <w:rFonts w:ascii="Times New Roman" w:hAnsi="Times New Roman" w:cs="Times New Roman"/>
        </w:rPr>
        <w:footnoteRef/>
      </w:r>
      <w:r w:rsidRPr="00933313">
        <w:rPr>
          <w:rFonts w:ascii="Times New Roman" w:hAnsi="Times New Roman" w:cs="Times New Roman"/>
          <w:lang w:val="it-IT"/>
        </w:rPr>
        <w:t xml:space="preserve"> G. Zanardelli, </w:t>
      </w:r>
      <w:r w:rsidRPr="00933313">
        <w:rPr>
          <w:rFonts w:ascii="Times New Roman" w:hAnsi="Times New Roman" w:cs="Times New Roman"/>
          <w:i/>
          <w:lang w:val="it-IT"/>
        </w:rPr>
        <w:t>Progetto del codice penale per il Regno d’Italia preceduto dalla relazione ministeriale presentato alla Camera dei deputati dal Ministro di Grazie e Giustizia e dei Culti Zanardelli</w:t>
      </w:r>
      <w:r w:rsidRPr="00933313">
        <w:rPr>
          <w:rFonts w:ascii="Times New Roman" w:hAnsi="Times New Roman" w:cs="Times New Roman"/>
          <w:lang w:val="it-IT"/>
        </w:rPr>
        <w:t>, Stamperia Reale, 1888, pp. 459 y ss.</w:t>
      </w:r>
    </w:p>
  </w:footnote>
  <w:footnote w:id="10">
    <w:p w:rsidR="00D84A1C" w:rsidRPr="00933313" w:rsidRDefault="00D84A1C" w:rsidP="00582DC7">
      <w:pPr>
        <w:pStyle w:val="Testonotaapidipagina"/>
        <w:ind w:left="-567" w:right="-568"/>
        <w:jc w:val="both"/>
        <w:rPr>
          <w:rFonts w:ascii="Times New Roman" w:hAnsi="Times New Roman" w:cs="Times New Roman"/>
          <w:lang w:val="es-ES"/>
        </w:rPr>
      </w:pPr>
      <w:r w:rsidRPr="00933313">
        <w:rPr>
          <w:rStyle w:val="Rimandonotaapidipagina"/>
          <w:rFonts w:ascii="Times New Roman" w:hAnsi="Times New Roman" w:cs="Times New Roman"/>
        </w:rPr>
        <w:footnoteRef/>
      </w:r>
      <w:r w:rsidRPr="00933313">
        <w:rPr>
          <w:rFonts w:ascii="Times New Roman" w:hAnsi="Times New Roman" w:cs="Times New Roman"/>
          <w:lang w:val="es-ES"/>
        </w:rPr>
        <w:t xml:space="preserve"> Originariamente esta disciplina se contenía en el art. 543 c.p.; tras la reforma de 1996, su supervivencia se deriva del reenvío al art. 597 párrafo tercero, c.p., contenido en el art. 609-septies c.p. sobre la querella de parte. Debido a ese </w:t>
      </w:r>
      <w:r w:rsidR="00A05B65" w:rsidRPr="00933313">
        <w:rPr>
          <w:rFonts w:ascii="Times New Roman" w:hAnsi="Times New Roman" w:cs="Times New Roman"/>
          <w:lang w:val="es-ES"/>
        </w:rPr>
        <w:t>re</w:t>
      </w:r>
      <w:r w:rsidRPr="00933313">
        <w:rPr>
          <w:rFonts w:ascii="Times New Roman" w:hAnsi="Times New Roman" w:cs="Times New Roman"/>
          <w:lang w:val="es-ES"/>
        </w:rPr>
        <w:t>envío se ha ampliado la categoría de los sujetos titulares del derecho a presentar querella en lugar de la persona ofendida fallecida: además de todos los parientes próximos, también el adoptante y el adoptado.</w:t>
      </w:r>
    </w:p>
  </w:footnote>
  <w:footnote w:id="11">
    <w:p w:rsidR="00D84A1C" w:rsidRPr="00933313" w:rsidRDefault="00D84A1C" w:rsidP="00582DC7">
      <w:pPr>
        <w:pStyle w:val="Testonotaapidipagina"/>
        <w:ind w:left="-567" w:right="-568"/>
        <w:jc w:val="both"/>
        <w:rPr>
          <w:rFonts w:ascii="Times New Roman" w:hAnsi="Times New Roman" w:cs="Times New Roman"/>
          <w:lang w:val="it-IT"/>
        </w:rPr>
      </w:pPr>
      <w:r w:rsidRPr="00933313">
        <w:rPr>
          <w:rStyle w:val="Rimandonotaapidipagina"/>
          <w:rFonts w:ascii="Times New Roman" w:hAnsi="Times New Roman" w:cs="Times New Roman"/>
        </w:rPr>
        <w:footnoteRef/>
      </w:r>
      <w:r w:rsidRPr="00933313">
        <w:rPr>
          <w:rFonts w:ascii="Times New Roman" w:hAnsi="Times New Roman" w:cs="Times New Roman"/>
          <w:lang w:val="it-IT"/>
        </w:rPr>
        <w:t xml:space="preserve"> En este sentido, la Relazione del Guardasigilli, p. II, p. 331, en R. Mangiani, F.P. Gabrieli, U. Cosentino (a cura di), </w:t>
      </w:r>
      <w:r w:rsidRPr="00933313">
        <w:rPr>
          <w:rFonts w:ascii="Times New Roman" w:hAnsi="Times New Roman" w:cs="Times New Roman"/>
          <w:i/>
          <w:lang w:val="it-IT"/>
        </w:rPr>
        <w:t>Codice penale illustrato con i lavori preparatori</w:t>
      </w:r>
      <w:r w:rsidRPr="00933313">
        <w:rPr>
          <w:rFonts w:ascii="Times New Roman" w:hAnsi="Times New Roman" w:cs="Times New Roman"/>
          <w:lang w:val="it-IT"/>
        </w:rPr>
        <w:t xml:space="preserve">, Camera dei Deputati, 1930, p. </w:t>
      </w:r>
      <w:r w:rsidR="00A64A93" w:rsidRPr="00933313">
        <w:rPr>
          <w:rFonts w:ascii="Times New Roman" w:hAnsi="Times New Roman" w:cs="Times New Roman"/>
          <w:lang w:val="it-IT"/>
        </w:rPr>
        <w:t>424.</w:t>
      </w:r>
    </w:p>
  </w:footnote>
  <w:footnote w:id="12">
    <w:p w:rsidR="00936C07" w:rsidRPr="00933313" w:rsidRDefault="00936C07" w:rsidP="00582DC7">
      <w:pPr>
        <w:pStyle w:val="Testonotaapidipagina"/>
        <w:ind w:left="-567" w:right="-568"/>
        <w:jc w:val="both"/>
        <w:rPr>
          <w:rFonts w:ascii="Times New Roman" w:hAnsi="Times New Roman" w:cs="Times New Roman"/>
          <w:lang w:val="it-IT"/>
        </w:rPr>
      </w:pPr>
      <w:r w:rsidRPr="00933313">
        <w:rPr>
          <w:rStyle w:val="Rimandonotaapidipagina"/>
          <w:rFonts w:ascii="Times New Roman" w:hAnsi="Times New Roman" w:cs="Times New Roman"/>
        </w:rPr>
        <w:footnoteRef/>
      </w:r>
      <w:r w:rsidRPr="00933313">
        <w:rPr>
          <w:rFonts w:ascii="Times New Roman" w:hAnsi="Times New Roman" w:cs="Times New Roman"/>
          <w:lang w:val="it-IT"/>
        </w:rPr>
        <w:t xml:space="preserve"> Así, respectivamente, la Relazione del Guardasigilli </w:t>
      </w:r>
      <w:r w:rsidRPr="00933313">
        <w:rPr>
          <w:rFonts w:ascii="Times New Roman" w:hAnsi="Times New Roman" w:cs="Times New Roman"/>
          <w:i/>
          <w:lang w:val="it-IT"/>
        </w:rPr>
        <w:t>cit</w:t>
      </w:r>
      <w:r w:rsidRPr="00933313">
        <w:rPr>
          <w:rFonts w:ascii="Times New Roman" w:hAnsi="Times New Roman" w:cs="Times New Roman"/>
          <w:lang w:val="it-IT"/>
        </w:rPr>
        <w:t xml:space="preserve">. y la Relazione al Re sul Progetto definitivo, n. 175, en R. Mangiani, F.P. Gabrieli, U. Cosentino (a cura di), </w:t>
      </w:r>
      <w:r w:rsidRPr="00933313">
        <w:rPr>
          <w:rFonts w:ascii="Times New Roman" w:hAnsi="Times New Roman" w:cs="Times New Roman"/>
          <w:i/>
          <w:lang w:val="it-IT"/>
        </w:rPr>
        <w:t>op.cit</w:t>
      </w:r>
      <w:r w:rsidRPr="00933313">
        <w:rPr>
          <w:rFonts w:ascii="Times New Roman" w:hAnsi="Times New Roman" w:cs="Times New Roman"/>
          <w:lang w:val="it-IT"/>
        </w:rPr>
        <w:t>., pp. 424 ss.</w:t>
      </w:r>
    </w:p>
  </w:footnote>
  <w:footnote w:id="13">
    <w:p w:rsidR="00936C07" w:rsidRPr="00E81F80" w:rsidRDefault="00936C07" w:rsidP="00582DC7">
      <w:pPr>
        <w:pStyle w:val="Testonotaapidipagina"/>
        <w:ind w:left="-567" w:right="-568"/>
        <w:jc w:val="both"/>
        <w:rPr>
          <w:rFonts w:ascii="Times New Roman" w:hAnsi="Times New Roman" w:cs="Times New Roman"/>
          <w:sz w:val="22"/>
          <w:szCs w:val="22"/>
          <w:lang w:val="es-ES"/>
        </w:rPr>
      </w:pPr>
      <w:r w:rsidRPr="00933313">
        <w:rPr>
          <w:rStyle w:val="Rimandonotaapidipagina"/>
          <w:rFonts w:ascii="Times New Roman" w:hAnsi="Times New Roman" w:cs="Times New Roman"/>
        </w:rPr>
        <w:footnoteRef/>
      </w:r>
      <w:r w:rsidRPr="00933313">
        <w:rPr>
          <w:rFonts w:ascii="Times New Roman" w:hAnsi="Times New Roman" w:cs="Times New Roman"/>
          <w:lang w:val="es-ES"/>
        </w:rPr>
        <w:t xml:space="preserve"> Así, C. cost. 27 de junio de 1974, n. 216, que ha considerado infundada la cuestión de constitucionalidad del art. 542 párrafo 2 c.p., en relación con el art. 3 de la Constitución.</w:t>
      </w:r>
    </w:p>
  </w:footnote>
  <w:footnote w:id="14">
    <w:p w:rsidR="002D7E39" w:rsidRPr="00933313" w:rsidRDefault="002D7E39" w:rsidP="00582DC7">
      <w:pPr>
        <w:pStyle w:val="Testonotaapidipagina"/>
        <w:ind w:left="-567" w:right="-568"/>
        <w:jc w:val="both"/>
        <w:rPr>
          <w:rFonts w:ascii="Times New Roman" w:hAnsi="Times New Roman" w:cs="Times New Roman"/>
          <w:lang w:val="es-ES"/>
        </w:rPr>
      </w:pPr>
      <w:r w:rsidRPr="00933313">
        <w:rPr>
          <w:rStyle w:val="Rimandonotaapidipagina"/>
          <w:rFonts w:ascii="Times New Roman" w:hAnsi="Times New Roman" w:cs="Times New Roman"/>
        </w:rPr>
        <w:footnoteRef/>
      </w:r>
      <w:r w:rsidRPr="00933313">
        <w:rPr>
          <w:rFonts w:ascii="Times New Roman" w:hAnsi="Times New Roman" w:cs="Times New Roman"/>
          <w:lang w:val="es-ES"/>
        </w:rPr>
        <w:t xml:space="preserve"> Tras la elevación de la primera hipótesis a 18 años, la segunda hipótesis resulta completamente superflua porque está comprendida en la anterior, más general.</w:t>
      </w:r>
    </w:p>
  </w:footnote>
  <w:footnote w:id="15">
    <w:p w:rsidR="00BB1DB8" w:rsidRPr="00E81F80" w:rsidRDefault="00BB1DB8" w:rsidP="00582DC7">
      <w:pPr>
        <w:pStyle w:val="Testonotaapidipagina"/>
        <w:ind w:left="-567" w:right="-568"/>
        <w:jc w:val="both"/>
        <w:rPr>
          <w:rFonts w:ascii="Times New Roman" w:hAnsi="Times New Roman" w:cs="Times New Roman"/>
          <w:sz w:val="22"/>
          <w:szCs w:val="22"/>
          <w:lang w:val="es-ES"/>
        </w:rPr>
      </w:pPr>
      <w:r w:rsidRPr="00933313">
        <w:rPr>
          <w:rStyle w:val="Rimandonotaapidipagina"/>
          <w:rFonts w:ascii="Times New Roman" w:hAnsi="Times New Roman" w:cs="Times New Roman"/>
        </w:rPr>
        <w:footnoteRef/>
      </w:r>
      <w:r w:rsidRPr="00933313">
        <w:rPr>
          <w:rFonts w:ascii="Times New Roman" w:hAnsi="Times New Roman" w:cs="Times New Roman"/>
          <w:lang w:val="es-ES"/>
        </w:rPr>
        <w:t xml:space="preserve"> </w:t>
      </w:r>
      <w:r w:rsidR="00DC11A4" w:rsidRPr="00933313">
        <w:rPr>
          <w:rFonts w:ascii="Times New Roman" w:hAnsi="Times New Roman" w:cs="Times New Roman"/>
          <w:lang w:val="es-ES"/>
        </w:rPr>
        <w:t>A la luz de la disciplina ya prevista en nuestro ordenamiento en materia de delitos sexuales, para adecuarse a esta disposición ha sido suficiente elevar de 14 a 18 años (de conformidad con la definición de “niño” adoptada por la Decisión) el límite de edad para el cual opera la perseguibilidad de oficio</w:t>
      </w:r>
      <w:r w:rsidR="00933313" w:rsidRPr="00933313">
        <w:rPr>
          <w:rFonts w:ascii="Times New Roman" w:hAnsi="Times New Roman" w:cs="Times New Roman"/>
          <w:lang w:val="es-ES"/>
        </w:rPr>
        <w:t>.</w:t>
      </w:r>
    </w:p>
  </w:footnote>
  <w:footnote w:id="16">
    <w:p w:rsidR="00BB1DB8" w:rsidRPr="00AD270D" w:rsidRDefault="00BB1DB8" w:rsidP="00582DC7">
      <w:pPr>
        <w:pStyle w:val="Testonotaapidipagina"/>
        <w:ind w:left="-567" w:right="-568"/>
        <w:jc w:val="both"/>
        <w:rPr>
          <w:rFonts w:ascii="Times New Roman" w:hAnsi="Times New Roman" w:cs="Times New Roman"/>
          <w:lang w:val="es-ES"/>
        </w:rPr>
      </w:pPr>
      <w:r w:rsidRPr="00AD270D">
        <w:rPr>
          <w:rStyle w:val="Rimandonotaapidipagina"/>
          <w:rFonts w:ascii="Times New Roman" w:hAnsi="Times New Roman" w:cs="Times New Roman"/>
        </w:rPr>
        <w:footnoteRef/>
      </w:r>
      <w:r w:rsidRPr="00AD270D">
        <w:rPr>
          <w:rFonts w:ascii="Times New Roman" w:hAnsi="Times New Roman" w:cs="Times New Roman"/>
          <w:lang w:val="es-ES"/>
        </w:rPr>
        <w:t xml:space="preserve"> </w:t>
      </w:r>
      <w:r w:rsidR="00DC11A4" w:rsidRPr="00AD270D">
        <w:rPr>
          <w:rFonts w:ascii="Times New Roman" w:hAnsi="Times New Roman" w:cs="Times New Roman"/>
          <w:lang w:val="es-ES"/>
        </w:rPr>
        <w:t xml:space="preserve">En este sentido, la Propuesta de ley de iniciativa popular presentada al Congreso de los Diputados el 19 de marzo de 1980, disponible en </w:t>
      </w:r>
      <w:r w:rsidR="00DC11A4" w:rsidRPr="00AD270D">
        <w:rPr>
          <w:rFonts w:ascii="Times New Roman" w:hAnsi="Times New Roman" w:cs="Times New Roman"/>
          <w:lang w:val="es-ES"/>
        </w:rPr>
        <w:t xml:space="preserve">la página web </w:t>
      </w:r>
      <w:r w:rsidR="008009AD" w:rsidRPr="00AD270D">
        <w:fldChar w:fldCharType="begin"/>
      </w:r>
      <w:r w:rsidR="008009AD" w:rsidRPr="00AD270D">
        <w:rPr>
          <w:rFonts w:ascii="Times New Roman" w:hAnsi="Times New Roman" w:cs="Times New Roman"/>
          <w:lang w:val="it-IT"/>
        </w:rPr>
        <w:instrText xml:space="preserve"> HYPERLINK "http://storia.camera.it" </w:instrText>
      </w:r>
      <w:r w:rsidR="008009AD" w:rsidRPr="00AD270D">
        <w:fldChar w:fldCharType="separate"/>
      </w:r>
      <w:r w:rsidR="00DC11A4" w:rsidRPr="00AD270D">
        <w:rPr>
          <w:rStyle w:val="Collegamentoipertestuale"/>
          <w:rFonts w:ascii="Times New Roman" w:hAnsi="Times New Roman" w:cs="Times New Roman"/>
          <w:lang w:val="es-ES"/>
        </w:rPr>
        <w:t>http://storia.camera.it</w:t>
      </w:r>
      <w:r w:rsidR="008009AD" w:rsidRPr="00AD270D">
        <w:rPr>
          <w:rStyle w:val="Collegamentoipertestuale"/>
          <w:rFonts w:ascii="Times New Roman" w:hAnsi="Times New Roman" w:cs="Times New Roman"/>
          <w:lang w:val="es-ES"/>
        </w:rPr>
        <w:fldChar w:fldCharType="end"/>
      </w:r>
      <w:r w:rsidR="00DC11A4" w:rsidRPr="00AD270D">
        <w:rPr>
          <w:rFonts w:ascii="Times New Roman" w:hAnsi="Times New Roman" w:cs="Times New Roman"/>
          <w:lang w:val="es-ES"/>
        </w:rPr>
        <w:t>; sobre la propuesta, formulada por el Movimento di Liberazione delle Donne, la Unione Donne Italiane y el Collettivo Femminista romado di via Pompeo Magno, cfr. M. Virgilio, pp. 15 s.</w:t>
      </w:r>
    </w:p>
  </w:footnote>
  <w:footnote w:id="17">
    <w:p w:rsidR="00DC11A4" w:rsidRPr="00AD270D" w:rsidRDefault="00DC11A4" w:rsidP="00582DC7">
      <w:pPr>
        <w:pStyle w:val="Testonotaapidipagina"/>
        <w:ind w:left="-567" w:right="-568"/>
        <w:jc w:val="both"/>
        <w:rPr>
          <w:rFonts w:ascii="Times New Roman" w:hAnsi="Times New Roman" w:cs="Times New Roman"/>
          <w:lang w:val="es-ES"/>
        </w:rPr>
      </w:pPr>
      <w:r w:rsidRPr="00AD270D">
        <w:rPr>
          <w:rStyle w:val="Rimandonotaapidipagina"/>
          <w:rFonts w:ascii="Times New Roman" w:hAnsi="Times New Roman" w:cs="Times New Roman"/>
        </w:rPr>
        <w:footnoteRef/>
      </w:r>
      <w:r w:rsidRPr="00AD270D">
        <w:rPr>
          <w:rFonts w:ascii="Times New Roman" w:hAnsi="Times New Roman" w:cs="Times New Roman"/>
          <w:lang w:val="es-ES"/>
        </w:rPr>
        <w:t xml:space="preserve"> Sobre esta propuesta vid. M. Virgilio </w:t>
      </w:r>
      <w:r w:rsidRPr="00AD270D">
        <w:rPr>
          <w:rFonts w:ascii="Times New Roman" w:hAnsi="Times New Roman" w:cs="Times New Roman"/>
          <w:i/>
          <w:lang w:val="es-ES"/>
        </w:rPr>
        <w:t>op. cit</w:t>
      </w:r>
      <w:r w:rsidRPr="00AD270D">
        <w:rPr>
          <w:rFonts w:ascii="Times New Roman" w:hAnsi="Times New Roman" w:cs="Times New Roman"/>
          <w:lang w:val="es-ES"/>
        </w:rPr>
        <w:t>. pp. 102 ss.</w:t>
      </w:r>
    </w:p>
  </w:footnote>
  <w:footnote w:id="18">
    <w:p w:rsidR="00FF3319" w:rsidRPr="00AD270D" w:rsidRDefault="00FF3319" w:rsidP="00582DC7">
      <w:pPr>
        <w:pStyle w:val="Testonotaapidipagina"/>
        <w:ind w:left="-567" w:right="-568"/>
        <w:jc w:val="both"/>
        <w:rPr>
          <w:rFonts w:ascii="Times New Roman" w:hAnsi="Times New Roman" w:cs="Times New Roman"/>
          <w:lang w:val="es-ES"/>
        </w:rPr>
      </w:pPr>
      <w:r w:rsidRPr="00AD270D">
        <w:rPr>
          <w:rStyle w:val="Rimandonotaapidipagina"/>
          <w:rFonts w:ascii="Times New Roman" w:hAnsi="Times New Roman" w:cs="Times New Roman"/>
        </w:rPr>
        <w:footnoteRef/>
      </w:r>
      <w:r w:rsidRPr="00AD270D">
        <w:rPr>
          <w:rFonts w:ascii="Times New Roman" w:hAnsi="Times New Roman" w:cs="Times New Roman"/>
          <w:lang w:val="es-ES"/>
        </w:rPr>
        <w:t xml:space="preserve"> En este sentido, B. Liberali</w:t>
      </w:r>
      <w:r w:rsidRPr="00AD270D">
        <w:rPr>
          <w:rFonts w:ascii="Times New Roman" w:hAnsi="Times New Roman" w:cs="Times New Roman"/>
          <w:i/>
          <w:lang w:val="es-ES"/>
        </w:rPr>
        <w:t>, Il reato di atti persecutori</w:t>
      </w:r>
      <w:r w:rsidRPr="00AD270D">
        <w:rPr>
          <w:rFonts w:ascii="Times New Roman" w:hAnsi="Times New Roman" w:cs="Times New Roman"/>
          <w:lang w:val="es-ES"/>
        </w:rPr>
        <w:t xml:space="preserve">, Milán, Franco Angeli, 2012, p. 86; G. De Simone, </w:t>
      </w:r>
      <w:r w:rsidRPr="00AD270D">
        <w:rPr>
          <w:rFonts w:ascii="Times New Roman" w:hAnsi="Times New Roman" w:cs="Times New Roman"/>
          <w:i/>
          <w:lang w:val="es-ES"/>
        </w:rPr>
        <w:t>Il delitto di atti persecutori</w:t>
      </w:r>
      <w:r w:rsidRPr="00AD270D">
        <w:rPr>
          <w:rFonts w:ascii="Times New Roman" w:hAnsi="Times New Roman" w:cs="Times New Roman"/>
          <w:lang w:val="es-ES"/>
        </w:rPr>
        <w:t xml:space="preserve">, Roma, Aracne, 2013, p. 173; en sentido contrario, A. M. Maugeri, </w:t>
      </w:r>
      <w:r w:rsidRPr="00AD270D">
        <w:rPr>
          <w:rFonts w:ascii="Times New Roman" w:hAnsi="Times New Roman" w:cs="Times New Roman"/>
          <w:i/>
          <w:lang w:val="es-ES"/>
        </w:rPr>
        <w:t xml:space="preserve">Lo </w:t>
      </w:r>
      <w:r w:rsidRPr="00AD270D">
        <w:rPr>
          <w:rFonts w:ascii="Times New Roman" w:hAnsi="Times New Roman" w:cs="Times New Roman"/>
          <w:lang w:val="es-ES"/>
        </w:rPr>
        <w:t>stalking</w:t>
      </w:r>
      <w:r w:rsidRPr="00AD270D">
        <w:rPr>
          <w:rFonts w:ascii="Times New Roman" w:hAnsi="Times New Roman" w:cs="Times New Roman"/>
          <w:i/>
          <w:lang w:val="es-ES"/>
        </w:rPr>
        <w:t xml:space="preserve"> tra necessità politico-criminale e promozione mediatica</w:t>
      </w:r>
      <w:r w:rsidRPr="00AD270D">
        <w:rPr>
          <w:rFonts w:ascii="Times New Roman" w:hAnsi="Times New Roman" w:cs="Times New Roman"/>
          <w:lang w:val="es-ES"/>
        </w:rPr>
        <w:t>, Turín, Giappichelli, 2010, pp. 225 s., según la cual a la víctima se le confiaría la tarea “de advertir el merecimmiento de la intervención penal ante agresiones consideradas intolerables”.</w:t>
      </w:r>
    </w:p>
  </w:footnote>
  <w:footnote w:id="19">
    <w:p w:rsidR="00B27779" w:rsidRPr="00AD270D" w:rsidRDefault="00B27779" w:rsidP="00582DC7">
      <w:pPr>
        <w:pStyle w:val="Testonotaapidipagina"/>
        <w:ind w:left="-567" w:right="-568"/>
        <w:jc w:val="both"/>
        <w:rPr>
          <w:rFonts w:ascii="Times New Roman" w:hAnsi="Times New Roman" w:cs="Times New Roman"/>
          <w:lang w:val="es-ES"/>
        </w:rPr>
      </w:pPr>
      <w:r w:rsidRPr="00AD270D">
        <w:rPr>
          <w:rStyle w:val="Rimandonotaapidipagina"/>
          <w:rFonts w:ascii="Times New Roman" w:hAnsi="Times New Roman" w:cs="Times New Roman"/>
        </w:rPr>
        <w:footnoteRef/>
      </w:r>
      <w:r w:rsidRPr="00AD270D">
        <w:rPr>
          <w:rFonts w:ascii="Times New Roman" w:hAnsi="Times New Roman" w:cs="Times New Roman"/>
          <w:lang w:val="es-ES"/>
        </w:rPr>
        <w:t xml:space="preserve"> Cfr. por ej. Cass. pen. sez. 3, n.1190 de 29 de noviembre de 2011 y Cass. pen. sez. 3 n. 17846 de 19 de marzo de 2009; sobre esta orientación, ya existente en relación con el anterior art. 542</w:t>
      </w:r>
      <w:r w:rsidRPr="00E81F80">
        <w:rPr>
          <w:rFonts w:ascii="Times New Roman" w:hAnsi="Times New Roman" w:cs="Times New Roman"/>
          <w:sz w:val="22"/>
          <w:szCs w:val="22"/>
          <w:lang w:val="es-ES"/>
        </w:rPr>
        <w:t xml:space="preserve"> párrafo 2 n. 2 </w:t>
      </w:r>
      <w:r w:rsidRPr="00AD270D">
        <w:rPr>
          <w:rFonts w:ascii="Times New Roman" w:hAnsi="Times New Roman" w:cs="Times New Roman"/>
          <w:lang w:val="es-ES"/>
        </w:rPr>
        <w:t xml:space="preserve">c.p., vid. por todos D. Proverbio, “Commento all’art. 609 septies”, en E. Dolcini, G. Marinucci (a cura di), </w:t>
      </w:r>
      <w:r w:rsidRPr="00AD270D">
        <w:rPr>
          <w:rFonts w:ascii="Times New Roman" w:hAnsi="Times New Roman" w:cs="Times New Roman"/>
          <w:i/>
          <w:lang w:val="es-ES"/>
        </w:rPr>
        <w:t>Codice penale commentato</w:t>
      </w:r>
      <w:r w:rsidRPr="00AD270D">
        <w:rPr>
          <w:rFonts w:ascii="Times New Roman" w:hAnsi="Times New Roman" w:cs="Times New Roman"/>
          <w:lang w:val="es-ES"/>
        </w:rPr>
        <w:t>, 3ª ed., 2011, pp. 5892 s.</w:t>
      </w:r>
    </w:p>
  </w:footnote>
  <w:footnote w:id="20">
    <w:p w:rsidR="00AA67B0" w:rsidRPr="00AD270D" w:rsidRDefault="00AA67B0" w:rsidP="00582DC7">
      <w:pPr>
        <w:pStyle w:val="Testonotaapidipagina"/>
        <w:ind w:left="-567" w:right="-568"/>
        <w:jc w:val="both"/>
        <w:rPr>
          <w:rFonts w:ascii="Times New Roman" w:hAnsi="Times New Roman" w:cs="Times New Roman"/>
          <w:lang w:val="es-ES"/>
        </w:rPr>
      </w:pPr>
      <w:r w:rsidRPr="00AD270D">
        <w:rPr>
          <w:rStyle w:val="Rimandonotaapidipagina"/>
          <w:rFonts w:ascii="Times New Roman" w:hAnsi="Times New Roman" w:cs="Times New Roman"/>
        </w:rPr>
        <w:footnoteRef/>
      </w:r>
      <w:r w:rsidRPr="00AD270D">
        <w:rPr>
          <w:rFonts w:ascii="Times New Roman" w:hAnsi="Times New Roman" w:cs="Times New Roman"/>
          <w:lang w:val="es-ES"/>
        </w:rPr>
        <w:t xml:space="preserve"> </w:t>
      </w:r>
      <w:r w:rsidR="00BC0B51" w:rsidRPr="00AD270D">
        <w:rPr>
          <w:rFonts w:ascii="Times New Roman" w:hAnsi="Times New Roman" w:cs="Times New Roman"/>
          <w:lang w:val="es-ES"/>
        </w:rPr>
        <w:t>Otro caso de perseguibilidad de oficio del delito se prevé cuando el autor haya sido anterior</w:t>
      </w:r>
      <w:r w:rsidR="00A05B65" w:rsidRPr="00AD270D">
        <w:rPr>
          <w:rFonts w:ascii="Times New Roman" w:hAnsi="Times New Roman" w:cs="Times New Roman"/>
          <w:lang w:val="es-ES"/>
        </w:rPr>
        <w:t>mente amonestado por el comisario de policía</w:t>
      </w:r>
      <w:r w:rsidR="00BC0B51" w:rsidRPr="00AD270D">
        <w:rPr>
          <w:rFonts w:ascii="Times New Roman" w:hAnsi="Times New Roman" w:cs="Times New Roman"/>
          <w:lang w:val="es-ES"/>
        </w:rPr>
        <w:t>, según lo previsto en el art. 8 del d.l. 11/2009, conv. en l. 38/2009.</w:t>
      </w:r>
    </w:p>
  </w:footnote>
  <w:footnote w:id="21">
    <w:p w:rsidR="005A5E1F" w:rsidRPr="00E81F80" w:rsidRDefault="005A5E1F" w:rsidP="00582DC7">
      <w:pPr>
        <w:pStyle w:val="Testonotaapidipagina"/>
        <w:ind w:left="-567" w:right="-568"/>
        <w:jc w:val="both"/>
        <w:rPr>
          <w:rFonts w:ascii="Times New Roman" w:hAnsi="Times New Roman" w:cs="Times New Roman"/>
          <w:sz w:val="22"/>
          <w:szCs w:val="22"/>
          <w:lang w:val="es-ES"/>
        </w:rPr>
      </w:pPr>
      <w:r w:rsidRPr="00AD270D">
        <w:rPr>
          <w:rStyle w:val="Rimandonotaapidipagina"/>
          <w:rFonts w:ascii="Times New Roman" w:hAnsi="Times New Roman" w:cs="Times New Roman"/>
        </w:rPr>
        <w:footnoteRef/>
      </w:r>
      <w:r w:rsidRPr="00AD270D">
        <w:rPr>
          <w:rFonts w:ascii="Times New Roman" w:hAnsi="Times New Roman" w:cs="Times New Roman"/>
          <w:lang w:val="es-ES"/>
        </w:rPr>
        <w:t xml:space="preserve"> Así, el Dictamen del CSM, adoptado el 2 de abril de 2009, sobre el texto del decreto ley de 23 de febrero de 2009, n. 11, sobre “Misure urgenti in materia di sicurezza pubblica e di contrasto alla violenza sessuale, nonché in tema di atti persecutori”, disponible en la página web www.csm.it.</w:t>
      </w:r>
    </w:p>
  </w:footnote>
  <w:footnote w:id="22">
    <w:p w:rsidR="005A5E1F" w:rsidRPr="00AD270D" w:rsidRDefault="005A5E1F" w:rsidP="00582DC7">
      <w:pPr>
        <w:pStyle w:val="Testonotaapidipagina"/>
        <w:ind w:left="-567" w:right="-568"/>
        <w:jc w:val="both"/>
        <w:rPr>
          <w:rFonts w:ascii="Times New Roman" w:hAnsi="Times New Roman" w:cs="Times New Roman"/>
          <w:lang w:val="es-ES"/>
        </w:rPr>
      </w:pPr>
      <w:r w:rsidRPr="00AD270D">
        <w:rPr>
          <w:rStyle w:val="Rimandonotaapidipagina"/>
          <w:rFonts w:ascii="Times New Roman" w:hAnsi="Times New Roman" w:cs="Times New Roman"/>
        </w:rPr>
        <w:footnoteRef/>
      </w:r>
      <w:r w:rsidRPr="00AD270D">
        <w:rPr>
          <w:rFonts w:ascii="Times New Roman" w:hAnsi="Times New Roman" w:cs="Times New Roman"/>
          <w:lang w:val="es-ES"/>
        </w:rPr>
        <w:t xml:space="preserve"> </w:t>
      </w:r>
      <w:r w:rsidR="005C5252" w:rsidRPr="00AD270D">
        <w:rPr>
          <w:rFonts w:ascii="Times New Roman" w:hAnsi="Times New Roman" w:cs="Times New Roman"/>
          <w:lang w:val="es-ES"/>
        </w:rPr>
        <w:t>Así, el Dictamen del CSM cit.</w:t>
      </w:r>
    </w:p>
  </w:footnote>
  <w:footnote w:id="23">
    <w:p w:rsidR="005C5252" w:rsidRPr="00DB4B28" w:rsidRDefault="005C5252" w:rsidP="00582DC7">
      <w:pPr>
        <w:pStyle w:val="Testonotaapidipagina"/>
        <w:ind w:left="-567" w:right="-568"/>
        <w:jc w:val="both"/>
        <w:rPr>
          <w:rFonts w:ascii="Times New Roman" w:hAnsi="Times New Roman" w:cs="Times New Roman"/>
          <w:lang w:val="es-ES"/>
        </w:rPr>
      </w:pPr>
      <w:r w:rsidRPr="00DB4B28">
        <w:rPr>
          <w:rStyle w:val="Rimandonotaapidipagina"/>
          <w:rFonts w:ascii="Times New Roman" w:hAnsi="Times New Roman" w:cs="Times New Roman"/>
        </w:rPr>
        <w:footnoteRef/>
      </w:r>
      <w:r w:rsidRPr="00DB4B28">
        <w:rPr>
          <w:rFonts w:ascii="Times New Roman" w:hAnsi="Times New Roman" w:cs="Times New Roman"/>
          <w:lang w:val="it-IT"/>
        </w:rPr>
        <w:t xml:space="preserve"> En este sentido, F. Mantovani, “La violenza di genere sotto il profilo criminologico e penale”, </w:t>
      </w:r>
      <w:r w:rsidRPr="00DB4B28">
        <w:rPr>
          <w:rFonts w:ascii="Times New Roman" w:hAnsi="Times New Roman" w:cs="Times New Roman"/>
          <w:i/>
          <w:lang w:val="it-IT"/>
        </w:rPr>
        <w:t>Criminalia</w:t>
      </w:r>
      <w:r w:rsidRPr="00DB4B28">
        <w:rPr>
          <w:rFonts w:ascii="Times New Roman" w:hAnsi="Times New Roman" w:cs="Times New Roman"/>
          <w:lang w:val="it-IT"/>
        </w:rPr>
        <w:t xml:space="preserve"> (2013), p. 59; A. Merlo, “Violenza di genere e </w:t>
      </w:r>
      <w:proofErr w:type="spellStart"/>
      <w:r w:rsidRPr="00DB4B28">
        <w:rPr>
          <w:rFonts w:ascii="Times New Roman" w:hAnsi="Times New Roman" w:cs="Times New Roman"/>
          <w:lang w:val="it-IT"/>
        </w:rPr>
        <w:t>femminicidio</w:t>
      </w:r>
      <w:proofErr w:type="spellEnd"/>
      <w:r w:rsidRPr="00DB4B28">
        <w:rPr>
          <w:rFonts w:ascii="Times New Roman" w:hAnsi="Times New Roman" w:cs="Times New Roman"/>
          <w:lang w:val="it-IT"/>
        </w:rPr>
        <w:t xml:space="preserve">”, </w:t>
      </w:r>
      <w:hyperlink r:id="rId3" w:history="1">
        <w:r w:rsidRPr="00DB4B28">
          <w:rPr>
            <w:rStyle w:val="Collegamentoipertestuale"/>
            <w:rFonts w:ascii="Times New Roman" w:hAnsi="Times New Roman" w:cs="Times New Roman"/>
            <w:lang w:val="it-IT"/>
          </w:rPr>
          <w:t>www.penalecontemporaneo.it</w:t>
        </w:r>
      </w:hyperlink>
      <w:r w:rsidRPr="00DB4B28">
        <w:rPr>
          <w:rFonts w:ascii="Times New Roman" w:hAnsi="Times New Roman" w:cs="Times New Roman"/>
          <w:lang w:val="it-IT"/>
        </w:rPr>
        <w:t xml:space="preserve">. </w:t>
      </w:r>
      <w:r w:rsidRPr="00DB4B28">
        <w:rPr>
          <w:rFonts w:ascii="Times New Roman" w:hAnsi="Times New Roman" w:cs="Times New Roman"/>
          <w:lang w:val="es-ES"/>
        </w:rPr>
        <w:t xml:space="preserve">Por el contrario, en el sentido de que es razonable proceder a una interpretación adaptativa de la disposición, permitiendo la retirada de la querella también en la fase de investigación preliminar, y por tanto ante el Ministerio Fiscal, C. Russo, </w:t>
      </w:r>
      <w:r w:rsidRPr="00DB4B28">
        <w:rPr>
          <w:rFonts w:ascii="Times New Roman" w:hAnsi="Times New Roman" w:cs="Times New Roman"/>
          <w:i/>
          <w:lang w:val="es-ES"/>
        </w:rPr>
        <w:t>Femminicidio (d.l. 14 agosto 2013, n. 93)</w:t>
      </w:r>
      <w:r w:rsidRPr="00DB4B28">
        <w:rPr>
          <w:rFonts w:ascii="Times New Roman" w:hAnsi="Times New Roman" w:cs="Times New Roman"/>
          <w:lang w:val="es-ES"/>
        </w:rPr>
        <w:t xml:space="preserve">, Milán, Giuffrè, p. 22. </w:t>
      </w:r>
    </w:p>
  </w:footnote>
  <w:footnote w:id="24">
    <w:p w:rsidR="005C5252" w:rsidRPr="00DB4B28" w:rsidRDefault="005C5252" w:rsidP="00582DC7">
      <w:pPr>
        <w:pStyle w:val="Testonotaapidipagina"/>
        <w:ind w:left="-567" w:right="-568"/>
        <w:jc w:val="both"/>
        <w:rPr>
          <w:rFonts w:ascii="Times New Roman" w:hAnsi="Times New Roman" w:cs="Times New Roman"/>
          <w:lang w:val="it-IT"/>
        </w:rPr>
      </w:pPr>
      <w:r w:rsidRPr="00DB4B28">
        <w:rPr>
          <w:rStyle w:val="Rimandonotaapidipagina"/>
          <w:rFonts w:ascii="Times New Roman" w:hAnsi="Times New Roman" w:cs="Times New Roman"/>
        </w:rPr>
        <w:footnoteRef/>
      </w:r>
      <w:r w:rsidRPr="00DB4B28">
        <w:rPr>
          <w:rFonts w:ascii="Times New Roman" w:hAnsi="Times New Roman" w:cs="Times New Roman"/>
          <w:lang w:val="it-IT"/>
        </w:rPr>
        <w:t xml:space="preserve"> Así C. E. Paliero, “Minima non curat praetor”. </w:t>
      </w:r>
      <w:r w:rsidR="00073A32" w:rsidRPr="00DB4B28">
        <w:rPr>
          <w:rFonts w:ascii="Times New Roman" w:hAnsi="Times New Roman" w:cs="Times New Roman"/>
          <w:i/>
          <w:lang w:val="it-IT"/>
        </w:rPr>
        <w:t>Ipertrof</w:t>
      </w:r>
      <w:r w:rsidRPr="00DB4B28">
        <w:rPr>
          <w:rFonts w:ascii="Times New Roman" w:hAnsi="Times New Roman" w:cs="Times New Roman"/>
          <w:i/>
          <w:lang w:val="it-IT"/>
        </w:rPr>
        <w:t>ia del diritto penale e decriminalizzazione dei reati bagatellari</w:t>
      </w:r>
      <w:r w:rsidR="00073A32" w:rsidRPr="00DB4B28">
        <w:rPr>
          <w:rFonts w:ascii="Times New Roman" w:hAnsi="Times New Roman" w:cs="Times New Roman"/>
          <w:lang w:val="it-IT"/>
        </w:rPr>
        <w:t>, Padua, CEDAM,</w:t>
      </w:r>
      <w:r w:rsidRPr="00DB4B28">
        <w:rPr>
          <w:rFonts w:ascii="Times New Roman" w:hAnsi="Times New Roman" w:cs="Times New Roman"/>
          <w:lang w:val="it-IT"/>
        </w:rPr>
        <w:t xml:space="preserve"> 1985, p. 366.</w:t>
      </w:r>
    </w:p>
  </w:footnote>
  <w:footnote w:id="25">
    <w:p w:rsidR="003874AA" w:rsidRPr="00DB4B28" w:rsidRDefault="003874AA" w:rsidP="00582DC7">
      <w:pPr>
        <w:pStyle w:val="Testonotaapidipagina"/>
        <w:ind w:left="-567" w:right="-568"/>
        <w:jc w:val="both"/>
        <w:rPr>
          <w:rFonts w:ascii="Times New Roman" w:hAnsi="Times New Roman" w:cs="Times New Roman"/>
          <w:lang w:val="it-IT"/>
        </w:rPr>
      </w:pPr>
      <w:r w:rsidRPr="00DB4B28">
        <w:rPr>
          <w:rStyle w:val="Rimandonotaapidipagina"/>
          <w:rFonts w:ascii="Times New Roman" w:hAnsi="Times New Roman" w:cs="Times New Roman"/>
        </w:rPr>
        <w:footnoteRef/>
      </w:r>
      <w:r w:rsidRPr="00DB4B28">
        <w:rPr>
          <w:rFonts w:ascii="Times New Roman" w:hAnsi="Times New Roman" w:cs="Times New Roman"/>
          <w:lang w:val="es-ES"/>
        </w:rPr>
        <w:t xml:space="preserve"> El dato se encuentra en G. Creazzo, </w:t>
      </w:r>
      <w:r w:rsidRPr="00DB4B28">
        <w:rPr>
          <w:rFonts w:ascii="Times New Roman" w:hAnsi="Times New Roman" w:cs="Times New Roman"/>
          <w:i/>
          <w:lang w:val="es-ES"/>
        </w:rPr>
        <w:t>op. cit</w:t>
      </w:r>
      <w:r w:rsidRPr="00DB4B28">
        <w:rPr>
          <w:rFonts w:ascii="Times New Roman" w:hAnsi="Times New Roman" w:cs="Times New Roman"/>
          <w:lang w:val="es-ES"/>
        </w:rPr>
        <w:t xml:space="preserve">., p. 16. </w:t>
      </w:r>
      <w:r w:rsidRPr="00DB4B28">
        <w:rPr>
          <w:rFonts w:ascii="Times New Roman" w:hAnsi="Times New Roman" w:cs="Times New Roman"/>
          <w:lang w:val="it-IT"/>
        </w:rPr>
        <w:t xml:space="preserve">Al respecto vid. también L. Goisis, “La violenza sessuale: profili storici e criminologici. Una storia di “genere””, </w:t>
      </w:r>
      <w:hyperlink r:id="rId4" w:history="1">
        <w:r w:rsidRPr="00DB4B28">
          <w:rPr>
            <w:rStyle w:val="Collegamentoipertestuale"/>
            <w:rFonts w:ascii="Times New Roman" w:hAnsi="Times New Roman" w:cs="Times New Roman"/>
            <w:lang w:val="it-IT"/>
          </w:rPr>
          <w:t>www.penalecontemporaneo.it</w:t>
        </w:r>
      </w:hyperlink>
      <w:r w:rsidRPr="00DB4B28">
        <w:rPr>
          <w:rFonts w:ascii="Times New Roman" w:hAnsi="Times New Roman" w:cs="Times New Roman"/>
          <w:lang w:val="it-IT"/>
        </w:rPr>
        <w:t xml:space="preserve">. </w:t>
      </w:r>
    </w:p>
  </w:footnote>
  <w:footnote w:id="26">
    <w:p w:rsidR="003874AA" w:rsidRPr="00E81F80" w:rsidRDefault="003874AA" w:rsidP="00582DC7">
      <w:pPr>
        <w:pStyle w:val="Testonotaapidipagina"/>
        <w:ind w:left="-567" w:right="-568"/>
        <w:jc w:val="both"/>
        <w:rPr>
          <w:rFonts w:ascii="Times New Roman" w:hAnsi="Times New Roman" w:cs="Times New Roman"/>
          <w:sz w:val="22"/>
          <w:szCs w:val="22"/>
          <w:lang w:val="it-IT"/>
        </w:rPr>
      </w:pPr>
      <w:r w:rsidRPr="00DB4B28">
        <w:rPr>
          <w:rStyle w:val="Rimandonotaapidipagina"/>
          <w:rFonts w:ascii="Times New Roman" w:hAnsi="Times New Roman" w:cs="Times New Roman"/>
        </w:rPr>
        <w:footnoteRef/>
      </w:r>
      <w:r w:rsidRPr="00DB4B28">
        <w:rPr>
          <w:rFonts w:ascii="Times New Roman" w:hAnsi="Times New Roman" w:cs="Times New Roman"/>
          <w:lang w:val="it-IT"/>
        </w:rPr>
        <w:t xml:space="preserve"> Cfr. D. Arcidiacono, S. Crocitti, “Le risposte del sistema della giustizia penale alle violenze nelle relazioni di intimità”, in G. Creazzo (a cura di), </w:t>
      </w:r>
      <w:r w:rsidRPr="00DB4B28">
        <w:rPr>
          <w:rFonts w:ascii="Times New Roman" w:hAnsi="Times New Roman" w:cs="Times New Roman"/>
          <w:i/>
          <w:lang w:val="it-IT"/>
        </w:rPr>
        <w:t>op. cit</w:t>
      </w:r>
      <w:r w:rsidRPr="00DB4B28">
        <w:rPr>
          <w:rFonts w:ascii="Times New Roman" w:hAnsi="Times New Roman" w:cs="Times New Roman"/>
          <w:lang w:val="it-IT"/>
        </w:rPr>
        <w:t>., p. 300.</w:t>
      </w:r>
    </w:p>
  </w:footnote>
  <w:footnote w:id="27">
    <w:p w:rsidR="004F67E3" w:rsidRPr="002B6561" w:rsidRDefault="004F67E3" w:rsidP="00582DC7">
      <w:pPr>
        <w:pStyle w:val="Testonotaapidipagina"/>
        <w:ind w:left="-567" w:right="-568"/>
        <w:jc w:val="both"/>
        <w:rPr>
          <w:rFonts w:ascii="Times New Roman" w:hAnsi="Times New Roman" w:cs="Times New Roman"/>
          <w:lang w:val="es-ES"/>
        </w:rPr>
      </w:pPr>
      <w:r w:rsidRPr="002B6561">
        <w:rPr>
          <w:rStyle w:val="Rimandonotaapidipagina"/>
          <w:rFonts w:ascii="Times New Roman" w:hAnsi="Times New Roman" w:cs="Times New Roman"/>
        </w:rPr>
        <w:footnoteRef/>
      </w:r>
      <w:r w:rsidRPr="002B6561">
        <w:rPr>
          <w:rFonts w:ascii="Times New Roman" w:hAnsi="Times New Roman" w:cs="Times New Roman"/>
          <w:lang w:val="es-ES"/>
        </w:rPr>
        <w:t xml:space="preserve"> Cfr. D. Arcidiacono, S. Crocitti </w:t>
      </w:r>
      <w:r w:rsidRPr="002B6561">
        <w:rPr>
          <w:rFonts w:ascii="Times New Roman" w:hAnsi="Times New Roman" w:cs="Times New Roman"/>
          <w:i/>
          <w:lang w:val="es-ES"/>
        </w:rPr>
        <w:t>op. cit</w:t>
      </w:r>
      <w:r w:rsidRPr="002B6561">
        <w:rPr>
          <w:rFonts w:ascii="Times New Roman" w:hAnsi="Times New Roman" w:cs="Times New Roman"/>
          <w:lang w:val="es-ES"/>
        </w:rPr>
        <w:t xml:space="preserve">. p. 300, donde se recogen las declaraciones de un representante del Ministerio Fiscal </w:t>
      </w:r>
      <w:r w:rsidR="008A3393" w:rsidRPr="002B6561">
        <w:rPr>
          <w:rFonts w:ascii="Times New Roman" w:hAnsi="Times New Roman" w:cs="Times New Roman"/>
          <w:lang w:val="es-ES"/>
        </w:rPr>
        <w:t>entrevist</w:t>
      </w:r>
      <w:r w:rsidRPr="002B6561">
        <w:rPr>
          <w:rFonts w:ascii="Times New Roman" w:hAnsi="Times New Roman" w:cs="Times New Roman"/>
          <w:lang w:val="es-ES"/>
        </w:rPr>
        <w:t>ado.</w:t>
      </w:r>
    </w:p>
  </w:footnote>
  <w:footnote w:id="28">
    <w:p w:rsidR="004F67E3" w:rsidRPr="00E81F80" w:rsidRDefault="004F67E3" w:rsidP="00582DC7">
      <w:pPr>
        <w:pStyle w:val="Testonotaapidipagina"/>
        <w:ind w:left="-567" w:right="-568"/>
        <w:jc w:val="both"/>
        <w:rPr>
          <w:rFonts w:ascii="Times New Roman" w:hAnsi="Times New Roman" w:cs="Times New Roman"/>
          <w:sz w:val="22"/>
          <w:szCs w:val="22"/>
          <w:lang w:val="es-ES"/>
        </w:rPr>
      </w:pPr>
      <w:r w:rsidRPr="002B6561">
        <w:rPr>
          <w:rStyle w:val="Rimandonotaapidipagina"/>
          <w:rFonts w:ascii="Times New Roman" w:hAnsi="Times New Roman" w:cs="Times New Roman"/>
        </w:rPr>
        <w:footnoteRef/>
      </w:r>
      <w:r w:rsidRPr="002B6561">
        <w:rPr>
          <w:rFonts w:ascii="Times New Roman" w:hAnsi="Times New Roman" w:cs="Times New Roman"/>
          <w:lang w:val="es-ES"/>
        </w:rPr>
        <w:t xml:space="preserve"> Los datos, junto al comentario de L. Guaraldi, “Indagine statistica sul reato di atti persecutori”, están disponibles en </w:t>
      </w:r>
      <w:r w:rsidRPr="002B6561">
        <w:rPr>
          <w:rFonts w:ascii="Times New Roman" w:hAnsi="Times New Roman" w:cs="Times New Roman"/>
          <w:lang w:val="es-ES"/>
        </w:rPr>
        <w:t xml:space="preserve">la página web </w:t>
      </w:r>
      <w:r w:rsidR="008009AD" w:rsidRPr="002B6561">
        <w:fldChar w:fldCharType="begin"/>
      </w:r>
      <w:r w:rsidR="008009AD" w:rsidRPr="002B6561">
        <w:rPr>
          <w:lang w:val="it-IT"/>
        </w:rPr>
        <w:instrText xml:space="preserve"> HYPERLINK "http://www.penalecontemporaneo.it" </w:instrText>
      </w:r>
      <w:r w:rsidR="008009AD" w:rsidRPr="002B6561">
        <w:fldChar w:fldCharType="separate"/>
      </w:r>
      <w:r w:rsidRPr="002B6561">
        <w:rPr>
          <w:rStyle w:val="Collegamentoipertestuale"/>
          <w:rFonts w:ascii="Times New Roman" w:hAnsi="Times New Roman" w:cs="Times New Roman"/>
          <w:lang w:val="es-ES"/>
        </w:rPr>
        <w:t>www.penalecontemporaneo.it</w:t>
      </w:r>
      <w:r w:rsidR="008009AD" w:rsidRPr="002B6561">
        <w:rPr>
          <w:rStyle w:val="Collegamentoipertestuale"/>
          <w:rFonts w:ascii="Times New Roman" w:hAnsi="Times New Roman" w:cs="Times New Roman"/>
          <w:lang w:val="es-ES"/>
        </w:rPr>
        <w:fldChar w:fldCharType="end"/>
      </w:r>
      <w:r w:rsidRPr="002B6561">
        <w:rPr>
          <w:rFonts w:ascii="Times New Roman" w:hAnsi="Times New Roman" w:cs="Times New Roman"/>
          <w:lang w:val="es-ES"/>
        </w:rPr>
        <w:t>.</w:t>
      </w:r>
      <w:r w:rsidRPr="00E81F80">
        <w:rPr>
          <w:rFonts w:ascii="Times New Roman" w:hAnsi="Times New Roman" w:cs="Times New Roman"/>
          <w:sz w:val="22"/>
          <w:szCs w:val="22"/>
          <w:lang w:val="es-ES"/>
        </w:rPr>
        <w:t xml:space="preserve"> </w:t>
      </w:r>
    </w:p>
  </w:footnote>
  <w:footnote w:id="29">
    <w:p w:rsidR="00E91E89" w:rsidRPr="002B6561" w:rsidRDefault="00E91E89" w:rsidP="00582DC7">
      <w:pPr>
        <w:pStyle w:val="Testonotaapidipagina"/>
        <w:ind w:left="-567" w:right="-568"/>
        <w:jc w:val="both"/>
        <w:rPr>
          <w:rFonts w:ascii="Times New Roman" w:hAnsi="Times New Roman" w:cs="Times New Roman"/>
          <w:lang w:val="en-US"/>
        </w:rPr>
      </w:pPr>
      <w:r w:rsidRPr="002B6561">
        <w:rPr>
          <w:rStyle w:val="Rimandonotaapidipagina"/>
          <w:rFonts w:ascii="Times New Roman" w:hAnsi="Times New Roman" w:cs="Times New Roman"/>
        </w:rPr>
        <w:footnoteRef/>
      </w:r>
      <w:r w:rsidRPr="002B6561">
        <w:rPr>
          <w:rFonts w:ascii="Times New Roman" w:hAnsi="Times New Roman" w:cs="Times New Roman"/>
        </w:rPr>
        <w:t xml:space="preserve"> </w:t>
      </w:r>
      <w:proofErr w:type="spellStart"/>
      <w:r w:rsidRPr="002B6561">
        <w:rPr>
          <w:rFonts w:ascii="Times New Roman" w:hAnsi="Times New Roman" w:cs="Times New Roman"/>
          <w:lang w:val="en-US"/>
        </w:rPr>
        <w:t>Cfr</w:t>
      </w:r>
      <w:proofErr w:type="spellEnd"/>
      <w:r w:rsidRPr="002B6561">
        <w:rPr>
          <w:rFonts w:ascii="Times New Roman" w:hAnsi="Times New Roman" w:cs="Times New Roman"/>
          <w:lang w:val="en-US"/>
        </w:rPr>
        <w:t xml:space="preserve">. Fundamental Rights Agency, “Violence against women: an EU-wide survey”, </w:t>
      </w:r>
      <w:hyperlink r:id="rId5" w:history="1">
        <w:r w:rsidRPr="002B6561">
          <w:rPr>
            <w:rStyle w:val="Collegamentoipertestuale"/>
            <w:rFonts w:ascii="Times New Roman" w:hAnsi="Times New Roman" w:cs="Times New Roman"/>
            <w:lang w:val="en-US"/>
          </w:rPr>
          <w:t>www.fra.europe.eu</w:t>
        </w:r>
      </w:hyperlink>
      <w:r w:rsidRPr="002B6561">
        <w:rPr>
          <w:rFonts w:ascii="Times New Roman" w:hAnsi="Times New Roman" w:cs="Times New Roman"/>
          <w:lang w:val="en-US"/>
        </w:rPr>
        <w:t xml:space="preserve">. </w:t>
      </w:r>
    </w:p>
  </w:footnote>
  <w:footnote w:id="30">
    <w:p w:rsidR="00877369" w:rsidRPr="002B6561" w:rsidRDefault="00877369" w:rsidP="00582DC7">
      <w:pPr>
        <w:pStyle w:val="Testonotaapidipagina"/>
        <w:ind w:left="-567"/>
        <w:jc w:val="both"/>
        <w:rPr>
          <w:rFonts w:ascii="Times New Roman" w:hAnsi="Times New Roman" w:cs="Times New Roman"/>
          <w:lang w:val="en-US"/>
        </w:rPr>
      </w:pPr>
      <w:r w:rsidRPr="002B6561">
        <w:rPr>
          <w:rStyle w:val="Rimandonotaapidipagina"/>
          <w:rFonts w:ascii="Times New Roman" w:hAnsi="Times New Roman" w:cs="Times New Roman"/>
        </w:rPr>
        <w:footnoteRef/>
      </w:r>
      <w:r w:rsidRPr="002B6561">
        <w:rPr>
          <w:rFonts w:ascii="Times New Roman" w:hAnsi="Times New Roman" w:cs="Times New Roman"/>
        </w:rPr>
        <w:t xml:space="preserve"> </w:t>
      </w:r>
      <w:proofErr w:type="spellStart"/>
      <w:r w:rsidRPr="002B6561">
        <w:rPr>
          <w:rFonts w:ascii="Times New Roman" w:hAnsi="Times New Roman" w:cs="Times New Roman"/>
          <w:lang w:val="en-US"/>
        </w:rPr>
        <w:t>Cfr</w:t>
      </w:r>
      <w:proofErr w:type="spellEnd"/>
      <w:r w:rsidRPr="002B6561">
        <w:rPr>
          <w:rFonts w:ascii="Times New Roman" w:hAnsi="Times New Roman" w:cs="Times New Roman"/>
          <w:lang w:val="en-US"/>
        </w:rPr>
        <w:t xml:space="preserve">. Fundamental Rights Agency, cit., </w:t>
      </w:r>
      <w:proofErr w:type="spellStart"/>
      <w:r w:rsidRPr="002B6561">
        <w:rPr>
          <w:rFonts w:ascii="Times New Roman" w:hAnsi="Times New Roman" w:cs="Times New Roman"/>
          <w:lang w:val="en-US"/>
        </w:rPr>
        <w:t>tabla</w:t>
      </w:r>
      <w:proofErr w:type="spellEnd"/>
      <w:r w:rsidRPr="002B6561">
        <w:rPr>
          <w:rFonts w:ascii="Times New Roman" w:hAnsi="Times New Roman" w:cs="Times New Roman"/>
          <w:lang w:val="en-US"/>
        </w:rPr>
        <w:t xml:space="preserve"> 3.6.</w:t>
      </w:r>
    </w:p>
  </w:footnote>
  <w:footnote w:id="31">
    <w:p w:rsidR="0079063D" w:rsidRPr="002B6561" w:rsidRDefault="0079063D" w:rsidP="00582DC7">
      <w:pPr>
        <w:pStyle w:val="Testonotaapidipagina"/>
        <w:ind w:left="-567" w:right="-568"/>
        <w:jc w:val="both"/>
        <w:rPr>
          <w:rFonts w:ascii="Times New Roman" w:hAnsi="Times New Roman" w:cs="Times New Roman"/>
          <w:lang w:val="es-ES"/>
        </w:rPr>
      </w:pPr>
      <w:r w:rsidRPr="002B6561">
        <w:rPr>
          <w:rStyle w:val="Rimandonotaapidipagina"/>
          <w:rFonts w:ascii="Times New Roman" w:hAnsi="Times New Roman" w:cs="Times New Roman"/>
        </w:rPr>
        <w:footnoteRef/>
      </w:r>
      <w:r w:rsidRPr="002B6561">
        <w:rPr>
          <w:rFonts w:ascii="Times New Roman" w:hAnsi="Times New Roman" w:cs="Times New Roman"/>
          <w:lang w:val="es-ES"/>
        </w:rPr>
        <w:t xml:space="preserve"> Estos datos se recogen en la investigación efectuada por la Dirección general de Estadística d</w:t>
      </w:r>
      <w:r w:rsidR="008A3393" w:rsidRPr="002B6561">
        <w:rPr>
          <w:rFonts w:ascii="Times New Roman" w:hAnsi="Times New Roman" w:cs="Times New Roman"/>
          <w:lang w:val="es-ES"/>
        </w:rPr>
        <w:t>el Ministerio de Justicia, anteriormente</w:t>
      </w:r>
      <w:r w:rsidRPr="002B6561">
        <w:rPr>
          <w:rFonts w:ascii="Times New Roman" w:hAnsi="Times New Roman" w:cs="Times New Roman"/>
          <w:lang w:val="es-ES"/>
        </w:rPr>
        <w:t xml:space="preserve"> citada.</w:t>
      </w:r>
    </w:p>
  </w:footnote>
  <w:footnote w:id="32">
    <w:p w:rsidR="00FE55A3" w:rsidRPr="002B6561" w:rsidRDefault="00FE55A3" w:rsidP="00582DC7">
      <w:pPr>
        <w:pStyle w:val="Testonotaapidipagina"/>
        <w:ind w:left="-567" w:right="-568"/>
        <w:jc w:val="both"/>
        <w:rPr>
          <w:rFonts w:ascii="Times New Roman" w:hAnsi="Times New Roman" w:cs="Times New Roman"/>
          <w:lang w:val="es-ES"/>
        </w:rPr>
      </w:pPr>
      <w:r w:rsidRPr="002B6561">
        <w:rPr>
          <w:rStyle w:val="Rimandonotaapidipagina"/>
          <w:rFonts w:ascii="Times New Roman" w:hAnsi="Times New Roman" w:cs="Times New Roman"/>
        </w:rPr>
        <w:footnoteRef/>
      </w:r>
      <w:r w:rsidRPr="002B6561">
        <w:rPr>
          <w:rFonts w:ascii="Times New Roman" w:hAnsi="Times New Roman" w:cs="Times New Roman"/>
          <w:lang w:val="es-ES"/>
        </w:rPr>
        <w:t xml:space="preserve"> Así, la Propuesta de ley de iniciat</w:t>
      </w:r>
      <w:r w:rsidR="00A05B65" w:rsidRPr="002B6561">
        <w:rPr>
          <w:rFonts w:ascii="Times New Roman" w:hAnsi="Times New Roman" w:cs="Times New Roman"/>
          <w:lang w:val="es-ES"/>
        </w:rPr>
        <w:t>iva popular presentada ante el Congreso</w:t>
      </w:r>
      <w:r w:rsidRPr="002B6561">
        <w:rPr>
          <w:rFonts w:ascii="Times New Roman" w:hAnsi="Times New Roman" w:cs="Times New Roman"/>
          <w:lang w:val="es-ES"/>
        </w:rPr>
        <w:t xml:space="preserve"> de los Diputados el 19 de marzo de 1980 cit.</w:t>
      </w:r>
    </w:p>
  </w:footnote>
  <w:footnote w:id="33">
    <w:p w:rsidR="0086000C" w:rsidRPr="002B6561" w:rsidRDefault="0086000C" w:rsidP="00582DC7">
      <w:pPr>
        <w:pStyle w:val="Testonotaapidipagina"/>
        <w:ind w:left="-567" w:right="-568"/>
        <w:jc w:val="both"/>
        <w:rPr>
          <w:rFonts w:ascii="Times New Roman" w:hAnsi="Times New Roman" w:cs="Times New Roman"/>
          <w:lang w:val="es-ES"/>
        </w:rPr>
      </w:pPr>
      <w:r w:rsidRPr="002B6561">
        <w:rPr>
          <w:rStyle w:val="Rimandonotaapidipagina"/>
          <w:rFonts w:ascii="Times New Roman" w:hAnsi="Times New Roman" w:cs="Times New Roman"/>
        </w:rPr>
        <w:footnoteRef/>
      </w:r>
      <w:r w:rsidRPr="002B6561">
        <w:rPr>
          <w:rFonts w:ascii="Times New Roman" w:hAnsi="Times New Roman" w:cs="Times New Roman"/>
          <w:lang w:val="es-ES"/>
        </w:rPr>
        <w:t xml:space="preserve"> En este sentido no parece suficient</w:t>
      </w:r>
      <w:r w:rsidR="00084751" w:rsidRPr="002B6561">
        <w:rPr>
          <w:rFonts w:ascii="Times New Roman" w:hAnsi="Times New Roman" w:cs="Times New Roman"/>
          <w:lang w:val="es-ES"/>
        </w:rPr>
        <w:t>e convertir siempre en irrevoc</w:t>
      </w:r>
      <w:r w:rsidRPr="002B6561">
        <w:rPr>
          <w:rFonts w:ascii="Times New Roman" w:hAnsi="Times New Roman" w:cs="Times New Roman"/>
          <w:lang w:val="es-ES"/>
        </w:rPr>
        <w:t>able la querella por los delitos de actos de persecución (pese a que, como hemos visto, este delito no sea uno de los mencionados por el art. 55 de la Convención), sino que se debería también, por coherencia, excluir la posibilidad de retirar la querella por las lesiones personales levísimas, cuando se hayan cometido contra una mujer o en el marco de una situación de malos tratos (en la que</w:t>
      </w:r>
      <w:r w:rsidR="00E470AD" w:rsidRPr="002B6561">
        <w:rPr>
          <w:rFonts w:ascii="Times New Roman" w:hAnsi="Times New Roman" w:cs="Times New Roman"/>
          <w:lang w:val="es-ES"/>
        </w:rPr>
        <w:t xml:space="preserve"> solo, por otra parte, el delito llega a menudo a conocimiento de la autoridad judicial).</w:t>
      </w:r>
    </w:p>
  </w:footnote>
  <w:footnote w:id="34">
    <w:p w:rsidR="00E470AD" w:rsidRPr="002B6561" w:rsidRDefault="00E470AD" w:rsidP="00582DC7">
      <w:pPr>
        <w:pStyle w:val="Testonotaapidipagina"/>
        <w:ind w:left="-567" w:right="-568"/>
        <w:jc w:val="both"/>
        <w:rPr>
          <w:rFonts w:ascii="Times New Roman" w:hAnsi="Times New Roman" w:cs="Times New Roman"/>
          <w:lang w:val="es-ES"/>
        </w:rPr>
      </w:pPr>
      <w:r w:rsidRPr="002B6561">
        <w:rPr>
          <w:rStyle w:val="Rimandonotaapidipagina"/>
          <w:rFonts w:ascii="Times New Roman" w:hAnsi="Times New Roman" w:cs="Times New Roman"/>
        </w:rPr>
        <w:footnoteRef/>
      </w:r>
      <w:r w:rsidRPr="002B6561">
        <w:rPr>
          <w:rFonts w:ascii="Times New Roman" w:hAnsi="Times New Roman" w:cs="Times New Roman"/>
          <w:lang w:val="es-ES"/>
        </w:rPr>
        <w:t xml:space="preserve"> </w:t>
      </w:r>
      <w:r w:rsidR="004B06E3" w:rsidRPr="002B6561">
        <w:rPr>
          <w:rFonts w:ascii="Times New Roman" w:hAnsi="Times New Roman" w:cs="Times New Roman"/>
          <w:lang w:val="es-ES"/>
        </w:rPr>
        <w:t xml:space="preserve">Novedades importantes a este respecto, sobre todo en el plano procesal, han sido recientemente introducidas por el d.l. 93/2013, conv. en l. 119/2013, sobre el que vid. </w:t>
      </w:r>
      <w:r w:rsidR="004B06E3" w:rsidRPr="002B6561">
        <w:rPr>
          <w:rFonts w:ascii="Times New Roman" w:hAnsi="Times New Roman" w:cs="Times New Roman"/>
          <w:lang w:val="it-IT"/>
        </w:rPr>
        <w:t xml:space="preserve">L. Pistorelli, “Prime note sulla legge di conversione, con modificazioni, del d.l. n. 93 del 2013, in materia tra l’altro di “violenza di genere” e di reati che </w:t>
      </w:r>
      <w:proofErr w:type="spellStart"/>
      <w:r w:rsidR="004B06E3" w:rsidRPr="002B6561">
        <w:rPr>
          <w:rFonts w:ascii="Times New Roman" w:hAnsi="Times New Roman" w:cs="Times New Roman"/>
          <w:lang w:val="it-IT"/>
        </w:rPr>
        <w:t>coinvolgado</w:t>
      </w:r>
      <w:proofErr w:type="spellEnd"/>
      <w:r w:rsidR="004B06E3" w:rsidRPr="002B6561">
        <w:rPr>
          <w:rFonts w:ascii="Times New Roman" w:hAnsi="Times New Roman" w:cs="Times New Roman"/>
          <w:lang w:val="it-IT"/>
        </w:rPr>
        <w:t xml:space="preserve"> minori”, </w:t>
      </w:r>
      <w:hyperlink r:id="rId6" w:history="1">
        <w:r w:rsidR="004B06E3" w:rsidRPr="002B6561">
          <w:rPr>
            <w:rStyle w:val="Collegamentoipertestuale"/>
            <w:rFonts w:ascii="Times New Roman" w:hAnsi="Times New Roman" w:cs="Times New Roman"/>
            <w:lang w:val="it-IT"/>
          </w:rPr>
          <w:t>www.penalecontemporaneo.it</w:t>
        </w:r>
      </w:hyperlink>
      <w:r w:rsidR="004B06E3" w:rsidRPr="002B6561">
        <w:rPr>
          <w:rFonts w:ascii="Times New Roman" w:hAnsi="Times New Roman" w:cs="Times New Roman"/>
          <w:lang w:val="it-IT"/>
        </w:rPr>
        <w:t xml:space="preserve">; G. Bellantoni, “Tutela della donna e processo penale: a proposito della legge n. 119/2013”, </w:t>
      </w:r>
      <w:r w:rsidR="004B06E3" w:rsidRPr="002B6561">
        <w:rPr>
          <w:rFonts w:ascii="Times New Roman" w:hAnsi="Times New Roman" w:cs="Times New Roman"/>
          <w:i/>
          <w:lang w:val="it-IT"/>
        </w:rPr>
        <w:t>Diritto penale e processo</w:t>
      </w:r>
      <w:r w:rsidR="004B06E3" w:rsidRPr="002B6561">
        <w:rPr>
          <w:rFonts w:ascii="Times New Roman" w:hAnsi="Times New Roman" w:cs="Times New Roman"/>
          <w:lang w:val="it-IT"/>
        </w:rPr>
        <w:t xml:space="preserve"> (2014), pp. 641 ss.; F. Macrì, “Le nuove norme penali sostanziali di contrasto al fenomeno della violenza di genere”, </w:t>
      </w:r>
      <w:r w:rsidR="004B06E3" w:rsidRPr="002B6561">
        <w:rPr>
          <w:rFonts w:ascii="Times New Roman" w:hAnsi="Times New Roman" w:cs="Times New Roman"/>
          <w:i/>
          <w:lang w:val="it-IT"/>
        </w:rPr>
        <w:t>ibidem</w:t>
      </w:r>
      <w:r w:rsidR="004B06E3" w:rsidRPr="002B6561">
        <w:rPr>
          <w:rFonts w:ascii="Times New Roman" w:hAnsi="Times New Roman" w:cs="Times New Roman"/>
          <w:lang w:val="it-IT"/>
        </w:rPr>
        <w:t xml:space="preserve">, pp. 11 ss.; S. Recchione, “Il decreto sul contrasto alla violenza di genere: prima lettura”, </w:t>
      </w:r>
      <w:hyperlink r:id="rId7" w:history="1">
        <w:r w:rsidR="004B06E3" w:rsidRPr="002B6561">
          <w:rPr>
            <w:rStyle w:val="Collegamentoipertestuale"/>
            <w:rFonts w:ascii="Times New Roman" w:hAnsi="Times New Roman" w:cs="Times New Roman"/>
            <w:lang w:val="it-IT"/>
          </w:rPr>
          <w:t>www.penalecontemporaneo.it</w:t>
        </w:r>
      </w:hyperlink>
      <w:r w:rsidR="004B06E3" w:rsidRPr="002B6561">
        <w:rPr>
          <w:rFonts w:ascii="Times New Roman" w:hAnsi="Times New Roman" w:cs="Times New Roman"/>
          <w:lang w:val="it-IT"/>
        </w:rPr>
        <w:t xml:space="preserve">. </w:t>
      </w:r>
      <w:r w:rsidR="004B06E3" w:rsidRPr="002B6561">
        <w:rPr>
          <w:rFonts w:ascii="Times New Roman" w:hAnsi="Times New Roman" w:cs="Times New Roman"/>
          <w:lang w:val="es-ES"/>
        </w:rPr>
        <w:t>Sobre la especialización de los magistrados encargados de la violencia de género, el Consejo Superior de la Magistratura se ha pronunciado por primera vez con la</w:t>
      </w:r>
      <w:r w:rsidR="004B06E3" w:rsidRPr="00E81F80">
        <w:rPr>
          <w:rFonts w:ascii="Times New Roman" w:hAnsi="Times New Roman" w:cs="Times New Roman"/>
          <w:sz w:val="22"/>
          <w:szCs w:val="22"/>
          <w:lang w:val="es-ES"/>
        </w:rPr>
        <w:t xml:space="preserve"> Resolución de </w:t>
      </w:r>
      <w:r w:rsidR="004B06E3" w:rsidRPr="002B6561">
        <w:rPr>
          <w:rFonts w:ascii="Times New Roman" w:hAnsi="Times New Roman" w:cs="Times New Roman"/>
          <w:lang w:val="es-ES"/>
        </w:rPr>
        <w:t>11 de febrero de 2009, y una segunda vez en julio de 2010, resoluciones a las que, sin embargo, parece que se les ha dado una aplicación escasa y no uniforme.</w:t>
      </w:r>
    </w:p>
  </w:footnote>
  <w:footnote w:id="35">
    <w:p w:rsidR="00E81F80" w:rsidRPr="002B6561" w:rsidRDefault="00E81F80" w:rsidP="00B8113B">
      <w:pPr>
        <w:pStyle w:val="Testonotaapidipagina"/>
        <w:ind w:left="-567" w:right="-568"/>
        <w:jc w:val="both"/>
        <w:rPr>
          <w:rFonts w:ascii="Times New Roman" w:hAnsi="Times New Roman" w:cs="Times New Roman"/>
          <w:lang w:val="en-US"/>
        </w:rPr>
      </w:pPr>
      <w:r w:rsidRPr="002B6561">
        <w:rPr>
          <w:rStyle w:val="Rimandonotaapidipagina"/>
          <w:rFonts w:ascii="Times New Roman" w:hAnsi="Times New Roman" w:cs="Times New Roman"/>
        </w:rPr>
        <w:footnoteRef/>
      </w:r>
      <w:r w:rsidRPr="002B6561">
        <w:rPr>
          <w:rFonts w:ascii="Times New Roman" w:hAnsi="Times New Roman" w:cs="Times New Roman"/>
          <w:lang w:val="en-US"/>
        </w:rPr>
        <w:t xml:space="preserve"> </w:t>
      </w:r>
      <w:proofErr w:type="spellStart"/>
      <w:r w:rsidRPr="002B6561">
        <w:rPr>
          <w:rFonts w:ascii="Times New Roman" w:hAnsi="Times New Roman" w:cs="Times New Roman"/>
          <w:lang w:val="en-US"/>
        </w:rPr>
        <w:t>Reflexiones</w:t>
      </w:r>
      <w:proofErr w:type="spellEnd"/>
      <w:r w:rsidRPr="002B6561">
        <w:rPr>
          <w:rFonts w:ascii="Times New Roman" w:hAnsi="Times New Roman" w:cs="Times New Roman"/>
          <w:lang w:val="en-US"/>
        </w:rPr>
        <w:t xml:space="preserve"> </w:t>
      </w:r>
      <w:proofErr w:type="spellStart"/>
      <w:r w:rsidRPr="002B6561">
        <w:rPr>
          <w:rFonts w:ascii="Times New Roman" w:hAnsi="Times New Roman" w:cs="Times New Roman"/>
          <w:lang w:val="en-US"/>
        </w:rPr>
        <w:t>interesantes</w:t>
      </w:r>
      <w:proofErr w:type="spellEnd"/>
      <w:r w:rsidRPr="002B6561">
        <w:rPr>
          <w:rFonts w:ascii="Times New Roman" w:hAnsi="Times New Roman" w:cs="Times New Roman"/>
          <w:lang w:val="en-US"/>
        </w:rPr>
        <w:t xml:space="preserve"> al </w:t>
      </w:r>
      <w:proofErr w:type="spellStart"/>
      <w:r w:rsidRPr="002B6561">
        <w:rPr>
          <w:rFonts w:ascii="Times New Roman" w:hAnsi="Times New Roman" w:cs="Times New Roman"/>
          <w:lang w:val="en-US"/>
        </w:rPr>
        <w:t>respecto</w:t>
      </w:r>
      <w:proofErr w:type="spellEnd"/>
      <w:r w:rsidRPr="002B6561">
        <w:rPr>
          <w:rFonts w:ascii="Times New Roman" w:hAnsi="Times New Roman" w:cs="Times New Roman"/>
          <w:lang w:val="en-US"/>
        </w:rPr>
        <w:t xml:space="preserve"> </w:t>
      </w:r>
      <w:proofErr w:type="spellStart"/>
      <w:r w:rsidRPr="002B6561">
        <w:rPr>
          <w:rFonts w:ascii="Times New Roman" w:hAnsi="Times New Roman" w:cs="Times New Roman"/>
          <w:lang w:val="en-US"/>
        </w:rPr>
        <w:t>en</w:t>
      </w:r>
      <w:proofErr w:type="spellEnd"/>
      <w:r w:rsidRPr="002B6561">
        <w:rPr>
          <w:rFonts w:ascii="Times New Roman" w:hAnsi="Times New Roman" w:cs="Times New Roman"/>
          <w:lang w:val="en-US"/>
        </w:rPr>
        <w:t xml:space="preserve"> D. Cook</w:t>
      </w:r>
      <w:r w:rsidRPr="002B6561">
        <w:rPr>
          <w:rFonts w:ascii="Times New Roman" w:hAnsi="Times New Roman" w:cs="Times New Roman"/>
          <w:i/>
          <w:lang w:val="en-US"/>
        </w:rPr>
        <w:t>, et al., Evaluation of Specialist Domestic Violence Courts/Fast Track Systems</w:t>
      </w:r>
      <w:r w:rsidRPr="002B6561">
        <w:rPr>
          <w:rFonts w:ascii="Times New Roman" w:hAnsi="Times New Roman" w:cs="Times New Roman"/>
          <w:lang w:val="en-US"/>
        </w:rPr>
        <w:t xml:space="preserve">, </w:t>
      </w:r>
      <w:proofErr w:type="spellStart"/>
      <w:r w:rsidRPr="002B6561">
        <w:rPr>
          <w:rFonts w:ascii="Times New Roman" w:hAnsi="Times New Roman" w:cs="Times New Roman"/>
          <w:lang w:val="en-US"/>
        </w:rPr>
        <w:t>Marzo</w:t>
      </w:r>
      <w:proofErr w:type="spellEnd"/>
      <w:r w:rsidRPr="002B6561">
        <w:rPr>
          <w:rFonts w:ascii="Times New Roman" w:hAnsi="Times New Roman" w:cs="Times New Roman"/>
          <w:lang w:val="en-US"/>
        </w:rPr>
        <w:t xml:space="preserve"> 2004; S. </w:t>
      </w:r>
      <w:proofErr w:type="spellStart"/>
      <w:r w:rsidRPr="002B6561">
        <w:rPr>
          <w:rFonts w:ascii="Times New Roman" w:hAnsi="Times New Roman" w:cs="Times New Roman"/>
          <w:lang w:val="en-US"/>
        </w:rPr>
        <w:t>Eley</w:t>
      </w:r>
      <w:proofErr w:type="spellEnd"/>
      <w:r w:rsidRPr="002B6561">
        <w:rPr>
          <w:rFonts w:ascii="Times New Roman" w:hAnsi="Times New Roman" w:cs="Times New Roman"/>
          <w:lang w:val="en-US"/>
        </w:rPr>
        <w:t xml:space="preserve">, “Changing Practices: The </w:t>
      </w:r>
      <w:proofErr w:type="spellStart"/>
      <w:r w:rsidRPr="002B6561">
        <w:rPr>
          <w:rFonts w:ascii="Times New Roman" w:hAnsi="Times New Roman" w:cs="Times New Roman"/>
          <w:lang w:val="en-US"/>
        </w:rPr>
        <w:t>Specialised</w:t>
      </w:r>
      <w:proofErr w:type="spellEnd"/>
      <w:r w:rsidRPr="002B6561">
        <w:rPr>
          <w:rFonts w:ascii="Times New Roman" w:hAnsi="Times New Roman" w:cs="Times New Roman"/>
          <w:lang w:val="en-US"/>
        </w:rPr>
        <w:t xml:space="preserve"> Domestic Violence Court Process”, </w:t>
      </w:r>
      <w:r w:rsidRPr="002B6561">
        <w:rPr>
          <w:rFonts w:ascii="Times New Roman" w:hAnsi="Times New Roman" w:cs="Times New Roman"/>
          <w:i/>
          <w:lang w:val="en-US"/>
        </w:rPr>
        <w:t>The Howard Journal</w:t>
      </w:r>
      <w:r w:rsidRPr="002B6561">
        <w:rPr>
          <w:rFonts w:ascii="Times New Roman" w:hAnsi="Times New Roman" w:cs="Times New Roman"/>
          <w:lang w:val="en-US"/>
        </w:rPr>
        <w:t>, 44 (2005), 2, pp. 113 ss.</w:t>
      </w:r>
    </w:p>
  </w:footnote>
  <w:footnote w:id="36">
    <w:p w:rsidR="00E81F80" w:rsidRPr="002B6561" w:rsidRDefault="00E81F80" w:rsidP="00B8113B">
      <w:pPr>
        <w:pStyle w:val="Testonotaapidipagina"/>
        <w:ind w:left="-567" w:right="-568"/>
        <w:jc w:val="both"/>
        <w:rPr>
          <w:rFonts w:ascii="Times New Roman" w:hAnsi="Times New Roman" w:cs="Times New Roman"/>
          <w:lang w:val="es-ES"/>
        </w:rPr>
      </w:pPr>
      <w:r w:rsidRPr="002B6561">
        <w:rPr>
          <w:rStyle w:val="Rimandonotaapidipagina"/>
          <w:rFonts w:ascii="Times New Roman" w:hAnsi="Times New Roman" w:cs="Times New Roman"/>
        </w:rPr>
        <w:footnoteRef/>
      </w:r>
      <w:r w:rsidRPr="002B6561">
        <w:rPr>
          <w:rFonts w:ascii="Times New Roman" w:hAnsi="Times New Roman" w:cs="Times New Roman"/>
          <w:lang w:val="es-ES"/>
        </w:rPr>
        <w:t xml:space="preserve"> En esta operación cultural, que la Convención de Estambul intenta promover dentro de los Estados miembros a través de todas sus disposiciones, también podría desempeñar un papel significativo la prohibición de imposición de métodos alternativos de resolución de conflictos, como la mediación o la conciliación, establecida por el art. 48. La difusión de la idea de que frente a la violencia no es posible, al menos en un período breve, una reconciliación que no signifique la perpetuación del estado de sometimiento de la víctima frente a quien ha llevado a cabo el comportamiento violento, debería contribuir a desactivar esa actitud de minimización de lo sucedido y de invitación paternalista al perdón que a menudo las mujeres se siguen encontrando por parte de las fuerzas del orden.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106945"/>
    <w:multiLevelType w:val="hybridMultilevel"/>
    <w:tmpl w:val="80441036"/>
    <w:lvl w:ilvl="0" w:tplc="F304894A">
      <w:start w:val="1"/>
      <w:numFmt w:val="decimal"/>
      <w:lvlText w:val="%1."/>
      <w:lvlJc w:val="left"/>
      <w:pPr>
        <w:ind w:left="1683" w:hanging="975"/>
      </w:pPr>
      <w:rPr>
        <w:rFonts w:hint="default"/>
        <w:b/>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nsid w:val="759221E3"/>
    <w:multiLevelType w:val="hybridMultilevel"/>
    <w:tmpl w:val="5FF23B64"/>
    <w:lvl w:ilvl="0" w:tplc="88686C04">
      <w:numFmt w:val="bullet"/>
      <w:lvlText w:val=""/>
      <w:lvlJc w:val="left"/>
      <w:pPr>
        <w:ind w:left="-207" w:hanging="360"/>
      </w:pPr>
      <w:rPr>
        <w:rFonts w:ascii="Symbol" w:eastAsia="Calibri" w:hAnsi="Symbol" w:cs="Times New Roman" w:hint="default"/>
      </w:rPr>
    </w:lvl>
    <w:lvl w:ilvl="1" w:tplc="04100003" w:tentative="1">
      <w:start w:val="1"/>
      <w:numFmt w:val="bullet"/>
      <w:lvlText w:val="o"/>
      <w:lvlJc w:val="left"/>
      <w:pPr>
        <w:ind w:left="513" w:hanging="360"/>
      </w:pPr>
      <w:rPr>
        <w:rFonts w:ascii="Courier New" w:hAnsi="Courier New" w:cs="Courier New" w:hint="default"/>
      </w:rPr>
    </w:lvl>
    <w:lvl w:ilvl="2" w:tplc="04100005" w:tentative="1">
      <w:start w:val="1"/>
      <w:numFmt w:val="bullet"/>
      <w:lvlText w:val=""/>
      <w:lvlJc w:val="left"/>
      <w:pPr>
        <w:ind w:left="1233" w:hanging="360"/>
      </w:pPr>
      <w:rPr>
        <w:rFonts w:ascii="Wingdings" w:hAnsi="Wingdings" w:hint="default"/>
      </w:rPr>
    </w:lvl>
    <w:lvl w:ilvl="3" w:tplc="04100001" w:tentative="1">
      <w:start w:val="1"/>
      <w:numFmt w:val="bullet"/>
      <w:lvlText w:val=""/>
      <w:lvlJc w:val="left"/>
      <w:pPr>
        <w:ind w:left="1953" w:hanging="360"/>
      </w:pPr>
      <w:rPr>
        <w:rFonts w:ascii="Symbol" w:hAnsi="Symbol" w:hint="default"/>
      </w:rPr>
    </w:lvl>
    <w:lvl w:ilvl="4" w:tplc="04100003" w:tentative="1">
      <w:start w:val="1"/>
      <w:numFmt w:val="bullet"/>
      <w:lvlText w:val="o"/>
      <w:lvlJc w:val="left"/>
      <w:pPr>
        <w:ind w:left="2673" w:hanging="360"/>
      </w:pPr>
      <w:rPr>
        <w:rFonts w:ascii="Courier New" w:hAnsi="Courier New" w:cs="Courier New" w:hint="default"/>
      </w:rPr>
    </w:lvl>
    <w:lvl w:ilvl="5" w:tplc="04100005" w:tentative="1">
      <w:start w:val="1"/>
      <w:numFmt w:val="bullet"/>
      <w:lvlText w:val=""/>
      <w:lvlJc w:val="left"/>
      <w:pPr>
        <w:ind w:left="3393" w:hanging="360"/>
      </w:pPr>
      <w:rPr>
        <w:rFonts w:ascii="Wingdings" w:hAnsi="Wingdings" w:hint="default"/>
      </w:rPr>
    </w:lvl>
    <w:lvl w:ilvl="6" w:tplc="04100001" w:tentative="1">
      <w:start w:val="1"/>
      <w:numFmt w:val="bullet"/>
      <w:lvlText w:val=""/>
      <w:lvlJc w:val="left"/>
      <w:pPr>
        <w:ind w:left="4113" w:hanging="360"/>
      </w:pPr>
      <w:rPr>
        <w:rFonts w:ascii="Symbol" w:hAnsi="Symbol" w:hint="default"/>
      </w:rPr>
    </w:lvl>
    <w:lvl w:ilvl="7" w:tplc="04100003" w:tentative="1">
      <w:start w:val="1"/>
      <w:numFmt w:val="bullet"/>
      <w:lvlText w:val="o"/>
      <w:lvlJc w:val="left"/>
      <w:pPr>
        <w:ind w:left="4833" w:hanging="360"/>
      </w:pPr>
      <w:rPr>
        <w:rFonts w:ascii="Courier New" w:hAnsi="Courier New" w:cs="Courier New" w:hint="default"/>
      </w:rPr>
    </w:lvl>
    <w:lvl w:ilvl="8" w:tplc="04100005" w:tentative="1">
      <w:start w:val="1"/>
      <w:numFmt w:val="bullet"/>
      <w:lvlText w:val=""/>
      <w:lvlJc w:val="left"/>
      <w:pPr>
        <w:ind w:left="5553" w:hanging="360"/>
      </w:pPr>
      <w:rPr>
        <w:rFonts w:ascii="Wingdings" w:hAnsi="Wingdings" w:hint="default"/>
      </w:rPr>
    </w:lvl>
  </w:abstractNum>
  <w:abstractNum w:abstractNumId="2">
    <w:nsid w:val="7B7A5B9D"/>
    <w:multiLevelType w:val="hybridMultilevel"/>
    <w:tmpl w:val="DE203022"/>
    <w:lvl w:ilvl="0" w:tplc="57F82FD8">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DBD"/>
    <w:rsid w:val="00010B0C"/>
    <w:rsid w:val="00073A32"/>
    <w:rsid w:val="00084751"/>
    <w:rsid w:val="000B7414"/>
    <w:rsid w:val="00135D91"/>
    <w:rsid w:val="00256DDD"/>
    <w:rsid w:val="00275184"/>
    <w:rsid w:val="002B6561"/>
    <w:rsid w:val="002D7E39"/>
    <w:rsid w:val="002E74C5"/>
    <w:rsid w:val="00330341"/>
    <w:rsid w:val="00356225"/>
    <w:rsid w:val="003874AA"/>
    <w:rsid w:val="00392B54"/>
    <w:rsid w:val="00416DBD"/>
    <w:rsid w:val="004379DF"/>
    <w:rsid w:val="004449A9"/>
    <w:rsid w:val="00455603"/>
    <w:rsid w:val="004B06E3"/>
    <w:rsid w:val="004F67E3"/>
    <w:rsid w:val="00506E60"/>
    <w:rsid w:val="00582DC7"/>
    <w:rsid w:val="005A5E1F"/>
    <w:rsid w:val="005C5252"/>
    <w:rsid w:val="006E62BE"/>
    <w:rsid w:val="00702ECE"/>
    <w:rsid w:val="00754EB1"/>
    <w:rsid w:val="0079063D"/>
    <w:rsid w:val="008009AD"/>
    <w:rsid w:val="0082652A"/>
    <w:rsid w:val="0086000C"/>
    <w:rsid w:val="00877369"/>
    <w:rsid w:val="008A3393"/>
    <w:rsid w:val="008E614D"/>
    <w:rsid w:val="008F1A19"/>
    <w:rsid w:val="00933313"/>
    <w:rsid w:val="00934282"/>
    <w:rsid w:val="00936C07"/>
    <w:rsid w:val="0097327A"/>
    <w:rsid w:val="00981AC1"/>
    <w:rsid w:val="009A5642"/>
    <w:rsid w:val="00A05B65"/>
    <w:rsid w:val="00A64A93"/>
    <w:rsid w:val="00A8559F"/>
    <w:rsid w:val="00AA67B0"/>
    <w:rsid w:val="00AD270D"/>
    <w:rsid w:val="00B27779"/>
    <w:rsid w:val="00B8113B"/>
    <w:rsid w:val="00BB1DB8"/>
    <w:rsid w:val="00BC0B51"/>
    <w:rsid w:val="00BE678E"/>
    <w:rsid w:val="00BF06DA"/>
    <w:rsid w:val="00C0059B"/>
    <w:rsid w:val="00CA7749"/>
    <w:rsid w:val="00D14B0A"/>
    <w:rsid w:val="00D53A1F"/>
    <w:rsid w:val="00D84A1C"/>
    <w:rsid w:val="00DB4B28"/>
    <w:rsid w:val="00DC11A4"/>
    <w:rsid w:val="00E470AD"/>
    <w:rsid w:val="00E81F80"/>
    <w:rsid w:val="00E91E89"/>
    <w:rsid w:val="00F51B7B"/>
    <w:rsid w:val="00F72B79"/>
    <w:rsid w:val="00F93EA1"/>
    <w:rsid w:val="00FE55A3"/>
    <w:rsid w:val="00FF331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Arial"/>
        <w:sz w:val="22"/>
        <w:lang w:val="es-E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jc w:val="left"/>
    </w:pPr>
    <w:rPr>
      <w:rFonts w:ascii="Calibri" w:hAnsi="Calibri"/>
      <w:sz w:val="20"/>
      <w:lang w:val="en-GB" w:eastAsia="es-E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16DBD"/>
    <w:pPr>
      <w:ind w:left="720"/>
      <w:contextualSpacing/>
    </w:pPr>
  </w:style>
  <w:style w:type="paragraph" w:styleId="Testonotaapidipagina">
    <w:name w:val="footnote text"/>
    <w:basedOn w:val="Normale"/>
    <w:link w:val="TestonotaapidipaginaCarattere"/>
    <w:uiPriority w:val="99"/>
    <w:semiHidden/>
    <w:unhideWhenUsed/>
    <w:rsid w:val="00981AC1"/>
  </w:style>
  <w:style w:type="character" w:customStyle="1" w:styleId="TestonotaapidipaginaCarattere">
    <w:name w:val="Testo nota a piè di pagina Carattere"/>
    <w:basedOn w:val="Carpredefinitoparagrafo"/>
    <w:link w:val="Testonotaapidipagina"/>
    <w:uiPriority w:val="99"/>
    <w:semiHidden/>
    <w:rsid w:val="00981AC1"/>
    <w:rPr>
      <w:rFonts w:ascii="Calibri" w:hAnsi="Calibri"/>
      <w:sz w:val="20"/>
      <w:lang w:val="en-GB" w:eastAsia="es-ES"/>
    </w:rPr>
  </w:style>
  <w:style w:type="character" w:styleId="Rimandonotaapidipagina">
    <w:name w:val="footnote reference"/>
    <w:basedOn w:val="Carpredefinitoparagrafo"/>
    <w:uiPriority w:val="99"/>
    <w:semiHidden/>
    <w:unhideWhenUsed/>
    <w:rsid w:val="00981AC1"/>
    <w:rPr>
      <w:vertAlign w:val="superscript"/>
    </w:rPr>
  </w:style>
  <w:style w:type="character" w:styleId="Collegamentoipertestuale">
    <w:name w:val="Hyperlink"/>
    <w:basedOn w:val="Carpredefinitoparagrafo"/>
    <w:uiPriority w:val="99"/>
    <w:unhideWhenUsed/>
    <w:rsid w:val="002E74C5"/>
    <w:rPr>
      <w:color w:val="0000FF" w:themeColor="hyperlink"/>
      <w:u w:val="single"/>
    </w:rPr>
  </w:style>
  <w:style w:type="paragraph" w:styleId="Testofumetto">
    <w:name w:val="Balloon Text"/>
    <w:basedOn w:val="Normale"/>
    <w:link w:val="TestofumettoCarattere"/>
    <w:uiPriority w:val="99"/>
    <w:semiHidden/>
    <w:unhideWhenUsed/>
    <w:rsid w:val="000B7414"/>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B7414"/>
    <w:rPr>
      <w:rFonts w:ascii="Tahoma" w:hAnsi="Tahoma" w:cs="Tahoma"/>
      <w:sz w:val="16"/>
      <w:szCs w:val="16"/>
      <w:lang w:val="en-GB" w:eastAsia="es-ES"/>
    </w:rPr>
  </w:style>
  <w:style w:type="character" w:styleId="MacchinadascrivereHTML">
    <w:name w:val="HTML Typewriter"/>
    <w:basedOn w:val="Carpredefinitoparagrafo"/>
    <w:uiPriority w:val="99"/>
    <w:semiHidden/>
    <w:unhideWhenUsed/>
    <w:rsid w:val="009A5642"/>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Arial"/>
        <w:sz w:val="22"/>
        <w:lang w:val="es-E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jc w:val="left"/>
    </w:pPr>
    <w:rPr>
      <w:rFonts w:ascii="Calibri" w:hAnsi="Calibri"/>
      <w:sz w:val="20"/>
      <w:lang w:val="en-GB" w:eastAsia="es-E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16DBD"/>
    <w:pPr>
      <w:ind w:left="720"/>
      <w:contextualSpacing/>
    </w:pPr>
  </w:style>
  <w:style w:type="paragraph" w:styleId="Testonotaapidipagina">
    <w:name w:val="footnote text"/>
    <w:basedOn w:val="Normale"/>
    <w:link w:val="TestonotaapidipaginaCarattere"/>
    <w:uiPriority w:val="99"/>
    <w:semiHidden/>
    <w:unhideWhenUsed/>
    <w:rsid w:val="00981AC1"/>
  </w:style>
  <w:style w:type="character" w:customStyle="1" w:styleId="TestonotaapidipaginaCarattere">
    <w:name w:val="Testo nota a piè di pagina Carattere"/>
    <w:basedOn w:val="Carpredefinitoparagrafo"/>
    <w:link w:val="Testonotaapidipagina"/>
    <w:uiPriority w:val="99"/>
    <w:semiHidden/>
    <w:rsid w:val="00981AC1"/>
    <w:rPr>
      <w:rFonts w:ascii="Calibri" w:hAnsi="Calibri"/>
      <w:sz w:val="20"/>
      <w:lang w:val="en-GB" w:eastAsia="es-ES"/>
    </w:rPr>
  </w:style>
  <w:style w:type="character" w:styleId="Rimandonotaapidipagina">
    <w:name w:val="footnote reference"/>
    <w:basedOn w:val="Carpredefinitoparagrafo"/>
    <w:uiPriority w:val="99"/>
    <w:semiHidden/>
    <w:unhideWhenUsed/>
    <w:rsid w:val="00981AC1"/>
    <w:rPr>
      <w:vertAlign w:val="superscript"/>
    </w:rPr>
  </w:style>
  <w:style w:type="character" w:styleId="Collegamentoipertestuale">
    <w:name w:val="Hyperlink"/>
    <w:basedOn w:val="Carpredefinitoparagrafo"/>
    <w:uiPriority w:val="99"/>
    <w:unhideWhenUsed/>
    <w:rsid w:val="002E74C5"/>
    <w:rPr>
      <w:color w:val="0000FF" w:themeColor="hyperlink"/>
      <w:u w:val="single"/>
    </w:rPr>
  </w:style>
  <w:style w:type="paragraph" w:styleId="Testofumetto">
    <w:name w:val="Balloon Text"/>
    <w:basedOn w:val="Normale"/>
    <w:link w:val="TestofumettoCarattere"/>
    <w:uiPriority w:val="99"/>
    <w:semiHidden/>
    <w:unhideWhenUsed/>
    <w:rsid w:val="000B7414"/>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B7414"/>
    <w:rPr>
      <w:rFonts w:ascii="Tahoma" w:hAnsi="Tahoma" w:cs="Tahoma"/>
      <w:sz w:val="16"/>
      <w:szCs w:val="16"/>
      <w:lang w:val="en-GB" w:eastAsia="es-ES"/>
    </w:rPr>
  </w:style>
  <w:style w:type="character" w:styleId="MacchinadascrivereHTML">
    <w:name w:val="HTML Typewriter"/>
    <w:basedOn w:val="Carpredefinitoparagrafo"/>
    <w:uiPriority w:val="99"/>
    <w:semiHidden/>
    <w:unhideWhenUsed/>
    <w:rsid w:val="009A5642"/>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penalecontemporaneo.it" TargetMode="External"/><Relationship Id="rId7" Type="http://schemas.openxmlformats.org/officeDocument/2006/relationships/hyperlink" Target="http://www.penalecontemporaneo.it" TargetMode="External"/><Relationship Id="rId2" Type="http://schemas.openxmlformats.org/officeDocument/2006/relationships/hyperlink" Target="http://www.penalecontemporaneo.it" TargetMode="External"/><Relationship Id="rId1" Type="http://schemas.openxmlformats.org/officeDocument/2006/relationships/hyperlink" Target="http://www.penalecontemporaneo.it" TargetMode="External"/><Relationship Id="rId6" Type="http://schemas.openxmlformats.org/officeDocument/2006/relationships/hyperlink" Target="http://www.penalecontemporaneo.it" TargetMode="External"/><Relationship Id="rId5" Type="http://schemas.openxmlformats.org/officeDocument/2006/relationships/hyperlink" Target="http://www.fra.europe.eu" TargetMode="External"/><Relationship Id="rId4" Type="http://schemas.openxmlformats.org/officeDocument/2006/relationships/hyperlink" Target="http://www.penalecontemporaneo.i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1514D5-5CB3-4411-868C-D8D398A56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15</Pages>
  <Words>6913</Words>
  <Characters>39406</Characters>
  <Application>Microsoft Office Word</Application>
  <DocSecurity>0</DocSecurity>
  <Lines>328</Lines>
  <Paragraphs>92</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46227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Patricia</dc:creator>
  <cp:lastModifiedBy>Claudia Pecorella</cp:lastModifiedBy>
  <cp:revision>13</cp:revision>
  <cp:lastPrinted>2015-03-31T10:09:00Z</cp:lastPrinted>
  <dcterms:created xsi:type="dcterms:W3CDTF">2015-03-31T10:16:00Z</dcterms:created>
  <dcterms:modified xsi:type="dcterms:W3CDTF">2015-04-14T16:22:00Z</dcterms:modified>
</cp:coreProperties>
</file>