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6B790" w14:textId="77777777" w:rsidR="00CD2E4C" w:rsidRDefault="00CD2E4C" w:rsidP="00CD2E4C">
      <w:pPr>
        <w:pStyle w:val="Nessunaspaziatura"/>
        <w:jc w:val="center"/>
        <w:rPr>
          <w:rFonts w:ascii="Times New Roman" w:hAnsi="Times New Roman"/>
          <w:b/>
          <w:sz w:val="24"/>
          <w:szCs w:val="24"/>
          <w:lang w:val="en-GB"/>
        </w:rPr>
      </w:pPr>
      <w:r w:rsidRPr="00CD2E4C">
        <w:rPr>
          <w:rFonts w:ascii="Times New Roman" w:hAnsi="Times New Roman"/>
          <w:b/>
          <w:sz w:val="24"/>
          <w:szCs w:val="24"/>
          <w:lang w:val="en-GB"/>
        </w:rPr>
        <w:t>ENHANCED BRAIN TARGETING OF ENGINEERED SOLID LIPID NANOPARTICLES</w:t>
      </w:r>
    </w:p>
    <w:p w14:paraId="4E2CC9C2" w14:textId="77777777" w:rsidR="00CD2E4C" w:rsidRPr="00CD2E4C" w:rsidRDefault="00CD2E4C" w:rsidP="00CD2E4C">
      <w:pPr>
        <w:pStyle w:val="Nessunaspaziatura"/>
        <w:jc w:val="center"/>
        <w:rPr>
          <w:rFonts w:ascii="Times New Roman" w:hAnsi="Times New Roman"/>
          <w:b/>
          <w:sz w:val="24"/>
          <w:szCs w:val="24"/>
          <w:lang w:val="en-GB"/>
        </w:rPr>
      </w:pPr>
    </w:p>
    <w:p w14:paraId="2744E508" w14:textId="77777777" w:rsidR="00CD2E4C" w:rsidRDefault="00CD2E4C" w:rsidP="00CD2E4C">
      <w:pPr>
        <w:pStyle w:val="Nessunaspaziatura"/>
        <w:jc w:val="both"/>
        <w:rPr>
          <w:rFonts w:ascii="Times New Roman" w:hAnsi="Times New Roman"/>
          <w:sz w:val="24"/>
          <w:szCs w:val="24"/>
          <w:vertAlign w:val="superscript"/>
        </w:rPr>
      </w:pPr>
      <w:r w:rsidRPr="00CD2E4C">
        <w:rPr>
          <w:rFonts w:ascii="Times New Roman" w:hAnsi="Times New Roman"/>
          <w:sz w:val="24"/>
          <w:szCs w:val="24"/>
        </w:rPr>
        <w:t>R. Dal Magro</w:t>
      </w:r>
      <w:r w:rsidRPr="00CD2E4C">
        <w:rPr>
          <w:rFonts w:ascii="Times New Roman" w:hAnsi="Times New Roman"/>
          <w:sz w:val="24"/>
          <w:szCs w:val="24"/>
          <w:vertAlign w:val="superscript"/>
        </w:rPr>
        <w:t>1</w:t>
      </w:r>
      <w:r w:rsidRPr="00CD2E4C">
        <w:rPr>
          <w:rFonts w:ascii="Times New Roman" w:hAnsi="Times New Roman"/>
          <w:sz w:val="24"/>
          <w:szCs w:val="24"/>
        </w:rPr>
        <w:t>, F. Ornaghi</w:t>
      </w:r>
      <w:r w:rsidRPr="00CD2E4C">
        <w:rPr>
          <w:rFonts w:ascii="Times New Roman" w:hAnsi="Times New Roman"/>
          <w:sz w:val="24"/>
          <w:szCs w:val="24"/>
          <w:vertAlign w:val="superscript"/>
        </w:rPr>
        <w:t>1</w:t>
      </w:r>
      <w:r w:rsidRPr="00CD2E4C">
        <w:rPr>
          <w:rFonts w:ascii="Times New Roman" w:hAnsi="Times New Roman"/>
          <w:sz w:val="24"/>
          <w:szCs w:val="24"/>
        </w:rPr>
        <w:t>, I. Cambianica</w:t>
      </w:r>
      <w:r w:rsidRPr="00CD2E4C">
        <w:rPr>
          <w:rFonts w:ascii="Times New Roman" w:hAnsi="Times New Roman"/>
          <w:sz w:val="24"/>
          <w:szCs w:val="24"/>
          <w:vertAlign w:val="superscript"/>
        </w:rPr>
        <w:t>1</w:t>
      </w:r>
      <w:r w:rsidRPr="00CD2E4C">
        <w:rPr>
          <w:rFonts w:ascii="Times New Roman" w:hAnsi="Times New Roman"/>
          <w:sz w:val="24"/>
          <w:szCs w:val="24"/>
        </w:rPr>
        <w:t>, S. Beretta</w:t>
      </w:r>
      <w:r w:rsidRPr="00CD2E4C">
        <w:rPr>
          <w:rFonts w:ascii="Times New Roman" w:hAnsi="Times New Roman"/>
          <w:sz w:val="24"/>
          <w:szCs w:val="24"/>
          <w:vertAlign w:val="superscript"/>
        </w:rPr>
        <w:t>1</w:t>
      </w:r>
      <w:r w:rsidRPr="00CD2E4C">
        <w:rPr>
          <w:rFonts w:ascii="Times New Roman" w:hAnsi="Times New Roman"/>
          <w:sz w:val="24"/>
          <w:szCs w:val="24"/>
        </w:rPr>
        <w:t>, F. Re</w:t>
      </w:r>
      <w:r w:rsidRPr="00CD2E4C">
        <w:rPr>
          <w:rFonts w:ascii="Times New Roman" w:hAnsi="Times New Roman"/>
          <w:sz w:val="24"/>
          <w:szCs w:val="24"/>
          <w:vertAlign w:val="superscript"/>
        </w:rPr>
        <w:t>1</w:t>
      </w:r>
      <w:r w:rsidRPr="00CD2E4C">
        <w:rPr>
          <w:rFonts w:ascii="Times New Roman" w:hAnsi="Times New Roman"/>
          <w:sz w:val="24"/>
          <w:szCs w:val="24"/>
        </w:rPr>
        <w:t>, A. Brambilla</w:t>
      </w:r>
      <w:r w:rsidRPr="00CD2E4C">
        <w:rPr>
          <w:rFonts w:ascii="Times New Roman" w:hAnsi="Times New Roman"/>
          <w:sz w:val="24"/>
          <w:szCs w:val="24"/>
          <w:vertAlign w:val="superscript"/>
        </w:rPr>
        <w:t>1</w:t>
      </w:r>
      <w:r w:rsidRPr="00CD2E4C">
        <w:rPr>
          <w:rFonts w:ascii="Times New Roman" w:hAnsi="Times New Roman"/>
          <w:sz w:val="24"/>
          <w:szCs w:val="24"/>
        </w:rPr>
        <w:t>, F. Barbero</w:t>
      </w:r>
      <w:r w:rsidRPr="00CD2E4C">
        <w:rPr>
          <w:rFonts w:ascii="Times New Roman" w:hAnsi="Times New Roman"/>
          <w:sz w:val="24"/>
          <w:szCs w:val="24"/>
          <w:vertAlign w:val="superscript"/>
        </w:rPr>
        <w:t>2</w:t>
      </w:r>
      <w:r w:rsidRPr="00CD2E4C">
        <w:rPr>
          <w:rFonts w:ascii="Times New Roman" w:hAnsi="Times New Roman"/>
          <w:sz w:val="24"/>
          <w:szCs w:val="24"/>
        </w:rPr>
        <w:t>, C. Musicanti</w:t>
      </w:r>
      <w:r w:rsidRPr="00CD2E4C">
        <w:rPr>
          <w:rFonts w:ascii="Times New Roman" w:hAnsi="Times New Roman"/>
          <w:sz w:val="24"/>
          <w:szCs w:val="24"/>
          <w:vertAlign w:val="superscript"/>
        </w:rPr>
        <w:t>2</w:t>
      </w:r>
      <w:r w:rsidRPr="00CD2E4C">
        <w:rPr>
          <w:rFonts w:ascii="Times New Roman" w:hAnsi="Times New Roman"/>
          <w:sz w:val="24"/>
          <w:szCs w:val="24"/>
        </w:rPr>
        <w:t>, A. Cagnotto</w:t>
      </w:r>
      <w:r w:rsidRPr="00CD2E4C">
        <w:rPr>
          <w:rFonts w:ascii="Times New Roman" w:hAnsi="Times New Roman"/>
          <w:sz w:val="24"/>
          <w:szCs w:val="24"/>
          <w:vertAlign w:val="superscript"/>
        </w:rPr>
        <w:t>3</w:t>
      </w:r>
      <w:r w:rsidRPr="00CD2E4C">
        <w:rPr>
          <w:rFonts w:ascii="Times New Roman" w:hAnsi="Times New Roman"/>
          <w:sz w:val="24"/>
          <w:szCs w:val="24"/>
        </w:rPr>
        <w:t>, E. Donzelli</w:t>
      </w:r>
      <w:r w:rsidRPr="00CD2E4C">
        <w:rPr>
          <w:rFonts w:ascii="Times New Roman" w:hAnsi="Times New Roman"/>
          <w:sz w:val="24"/>
          <w:szCs w:val="24"/>
          <w:vertAlign w:val="superscript"/>
        </w:rPr>
        <w:t>4</w:t>
      </w:r>
      <w:r w:rsidRPr="00CD2E4C">
        <w:rPr>
          <w:rFonts w:ascii="Times New Roman" w:hAnsi="Times New Roman"/>
          <w:sz w:val="24"/>
          <w:szCs w:val="24"/>
        </w:rPr>
        <w:t>, A. Canta</w:t>
      </w:r>
      <w:r w:rsidRPr="00CD2E4C">
        <w:rPr>
          <w:rFonts w:ascii="Times New Roman" w:hAnsi="Times New Roman"/>
          <w:sz w:val="24"/>
          <w:szCs w:val="24"/>
          <w:vertAlign w:val="superscript"/>
        </w:rPr>
        <w:t>4</w:t>
      </w:r>
      <w:r w:rsidRPr="00CD2E4C">
        <w:rPr>
          <w:rFonts w:ascii="Times New Roman" w:hAnsi="Times New Roman"/>
          <w:sz w:val="24"/>
          <w:szCs w:val="24"/>
        </w:rPr>
        <w:t>, M. Masserini</w:t>
      </w:r>
      <w:r w:rsidRPr="00CD2E4C">
        <w:rPr>
          <w:rFonts w:ascii="Times New Roman" w:hAnsi="Times New Roman"/>
          <w:sz w:val="24"/>
          <w:szCs w:val="24"/>
          <w:vertAlign w:val="superscript"/>
        </w:rPr>
        <w:t>1</w:t>
      </w:r>
      <w:r w:rsidRPr="00CD2E4C">
        <w:rPr>
          <w:rFonts w:ascii="Times New Roman" w:hAnsi="Times New Roman"/>
          <w:sz w:val="24"/>
          <w:szCs w:val="24"/>
        </w:rPr>
        <w:t>, G. Cavaletti</w:t>
      </w:r>
      <w:r w:rsidRPr="00CD2E4C">
        <w:rPr>
          <w:rFonts w:ascii="Times New Roman" w:hAnsi="Times New Roman"/>
          <w:sz w:val="24"/>
          <w:szCs w:val="24"/>
          <w:vertAlign w:val="superscript"/>
        </w:rPr>
        <w:t>4</w:t>
      </w:r>
      <w:r w:rsidRPr="00CD2E4C">
        <w:rPr>
          <w:rFonts w:ascii="Times New Roman" w:hAnsi="Times New Roman"/>
          <w:sz w:val="24"/>
          <w:szCs w:val="24"/>
        </w:rPr>
        <w:t>, P. Gasco</w:t>
      </w:r>
      <w:r w:rsidRPr="00CD2E4C">
        <w:rPr>
          <w:rFonts w:ascii="Times New Roman" w:hAnsi="Times New Roman"/>
          <w:sz w:val="24"/>
          <w:szCs w:val="24"/>
          <w:vertAlign w:val="superscript"/>
        </w:rPr>
        <w:t>2</w:t>
      </w:r>
      <w:r w:rsidRPr="00CD2E4C">
        <w:rPr>
          <w:rFonts w:ascii="Times New Roman" w:hAnsi="Times New Roman"/>
          <w:sz w:val="24"/>
          <w:szCs w:val="24"/>
        </w:rPr>
        <w:t>, G. Sancini</w:t>
      </w:r>
      <w:r w:rsidRPr="00CD2E4C">
        <w:rPr>
          <w:rFonts w:ascii="Times New Roman" w:hAnsi="Times New Roman"/>
          <w:sz w:val="24"/>
          <w:szCs w:val="24"/>
          <w:vertAlign w:val="superscript"/>
        </w:rPr>
        <w:t>1</w:t>
      </w:r>
    </w:p>
    <w:p w14:paraId="191325B2" w14:textId="77777777" w:rsidR="00CD2E4C" w:rsidRPr="00CD2E4C" w:rsidRDefault="00CD2E4C" w:rsidP="00CD2E4C">
      <w:pPr>
        <w:pStyle w:val="Nessunaspaziatura"/>
        <w:jc w:val="both"/>
        <w:rPr>
          <w:rFonts w:ascii="Times New Roman" w:hAnsi="Times New Roman"/>
          <w:sz w:val="24"/>
          <w:szCs w:val="24"/>
        </w:rPr>
      </w:pPr>
    </w:p>
    <w:p w14:paraId="0E99E393" w14:textId="77777777" w:rsidR="00CD2E4C" w:rsidRPr="00CD2E4C" w:rsidRDefault="00CD2E4C" w:rsidP="00CD2E4C">
      <w:pPr>
        <w:pStyle w:val="Nessunaspaziatura"/>
        <w:rPr>
          <w:rFonts w:ascii="Times New Roman" w:hAnsi="Times New Roman"/>
          <w:sz w:val="20"/>
          <w:szCs w:val="20"/>
          <w:lang w:val="en-GB"/>
        </w:rPr>
      </w:pPr>
      <w:r w:rsidRPr="00CD2E4C">
        <w:rPr>
          <w:rFonts w:ascii="Times New Roman" w:hAnsi="Times New Roman"/>
          <w:sz w:val="20"/>
          <w:szCs w:val="20"/>
          <w:vertAlign w:val="superscript"/>
          <w:lang w:val="en-GB"/>
        </w:rPr>
        <w:t>1</w:t>
      </w:r>
      <w:r w:rsidRPr="00CD2E4C">
        <w:rPr>
          <w:rFonts w:ascii="Times New Roman" w:hAnsi="Times New Roman"/>
          <w:sz w:val="20"/>
          <w:szCs w:val="20"/>
          <w:lang w:val="en-GB"/>
        </w:rPr>
        <w:t xml:space="preserve"> Department of Health Sciences, University of Milano-Bicocca, via Cadore 48, 20900 Monza, MB, Italy.</w:t>
      </w:r>
    </w:p>
    <w:p w14:paraId="40BC43F0" w14:textId="77777777" w:rsidR="00CD2E4C" w:rsidRPr="00CD2E4C" w:rsidRDefault="00CD2E4C" w:rsidP="00CD2E4C">
      <w:pPr>
        <w:pStyle w:val="Nessunaspaziatura"/>
        <w:rPr>
          <w:rFonts w:ascii="Times New Roman" w:hAnsi="Times New Roman"/>
          <w:sz w:val="20"/>
          <w:szCs w:val="20"/>
        </w:rPr>
      </w:pPr>
      <w:r w:rsidRPr="00CD2E4C">
        <w:rPr>
          <w:rFonts w:ascii="Times New Roman" w:hAnsi="Times New Roman"/>
          <w:sz w:val="20"/>
          <w:szCs w:val="20"/>
          <w:vertAlign w:val="superscript"/>
        </w:rPr>
        <w:t>2</w:t>
      </w:r>
      <w:r w:rsidRPr="00CD2E4C">
        <w:rPr>
          <w:rFonts w:ascii="Times New Roman" w:hAnsi="Times New Roman"/>
          <w:sz w:val="20"/>
          <w:szCs w:val="20"/>
        </w:rPr>
        <w:t xml:space="preserve"> Nanovector S.r.l., via Livorno, 60 - 10144 Torino, TO, Italy.</w:t>
      </w:r>
    </w:p>
    <w:p w14:paraId="1187173F" w14:textId="77777777" w:rsidR="00CD2E4C" w:rsidRPr="00CD2E4C" w:rsidRDefault="00CD2E4C" w:rsidP="00CD2E4C">
      <w:pPr>
        <w:pStyle w:val="Nessunaspaziatura"/>
        <w:rPr>
          <w:rFonts w:ascii="Times New Roman" w:hAnsi="Times New Roman"/>
          <w:sz w:val="20"/>
          <w:szCs w:val="20"/>
          <w:lang w:val="en-GB"/>
        </w:rPr>
      </w:pPr>
      <w:r w:rsidRPr="00CD2E4C">
        <w:rPr>
          <w:rFonts w:ascii="Times New Roman" w:hAnsi="Times New Roman"/>
          <w:sz w:val="20"/>
          <w:szCs w:val="20"/>
          <w:vertAlign w:val="superscript"/>
          <w:lang w:val="en-GB"/>
        </w:rPr>
        <w:t>3</w:t>
      </w:r>
      <w:r w:rsidRPr="00CD2E4C">
        <w:rPr>
          <w:rFonts w:ascii="Times New Roman" w:hAnsi="Times New Roman"/>
          <w:sz w:val="20"/>
          <w:szCs w:val="20"/>
          <w:lang w:val="en-GB"/>
        </w:rPr>
        <w:t xml:space="preserve"> Department of Molecular Biochemistry and Pharmacology, Mario Negri Institute for Pharmacological Research, via La Masa 19, 20156 Milano, MI, Italy.</w:t>
      </w:r>
    </w:p>
    <w:p w14:paraId="06938330" w14:textId="77777777" w:rsidR="00CD2E4C" w:rsidRPr="00CD2E4C" w:rsidRDefault="00CD2E4C" w:rsidP="00CD2E4C">
      <w:pPr>
        <w:pStyle w:val="Nessunaspaziatura"/>
        <w:rPr>
          <w:rFonts w:ascii="Times New Roman" w:hAnsi="Times New Roman"/>
          <w:sz w:val="20"/>
          <w:szCs w:val="20"/>
          <w:lang w:val="en-GB"/>
        </w:rPr>
      </w:pPr>
      <w:r w:rsidRPr="00CD2E4C">
        <w:rPr>
          <w:rFonts w:ascii="Times New Roman" w:hAnsi="Times New Roman"/>
          <w:sz w:val="20"/>
          <w:szCs w:val="20"/>
          <w:vertAlign w:val="superscript"/>
          <w:lang w:val="en-GB"/>
        </w:rPr>
        <w:t>4</w:t>
      </w:r>
      <w:r w:rsidRPr="00CD2E4C">
        <w:rPr>
          <w:rFonts w:ascii="Times New Roman" w:hAnsi="Times New Roman"/>
          <w:sz w:val="20"/>
          <w:szCs w:val="20"/>
          <w:lang w:val="en-GB"/>
        </w:rPr>
        <w:t xml:space="preserve"> Department of Surgery and Translational Medicine, University of Milano-Bicocca, via Cadore 48, 20900 Monza, MB, Italy.</w:t>
      </w:r>
    </w:p>
    <w:p w14:paraId="641C7DDC" w14:textId="77777777" w:rsidR="00CD2E4C" w:rsidRDefault="00CD2E4C" w:rsidP="00CD2E4C">
      <w:pPr>
        <w:pStyle w:val="Nessunaspaziatura"/>
        <w:jc w:val="both"/>
        <w:rPr>
          <w:color w:val="131413"/>
          <w:sz w:val="24"/>
          <w:szCs w:val="24"/>
          <w:lang w:val="en-US"/>
        </w:rPr>
      </w:pPr>
    </w:p>
    <w:p w14:paraId="34154E51" w14:textId="77777777" w:rsidR="00CD2E4C" w:rsidRPr="00CD2E4C" w:rsidRDefault="00CD2E4C" w:rsidP="00CD2E4C">
      <w:pPr>
        <w:pStyle w:val="Nessunaspaziatura"/>
        <w:jc w:val="both"/>
        <w:rPr>
          <w:rFonts w:ascii="Times New Roman" w:hAnsi="Times New Roman"/>
          <w:i/>
          <w:sz w:val="24"/>
          <w:szCs w:val="24"/>
          <w:lang w:val="en-US"/>
        </w:rPr>
      </w:pPr>
      <w:r w:rsidRPr="00CD2E4C">
        <w:rPr>
          <w:rFonts w:ascii="Times New Roman" w:hAnsi="Times New Roman"/>
          <w:i/>
          <w:color w:val="131413"/>
          <w:sz w:val="24"/>
          <w:szCs w:val="24"/>
          <w:lang w:val="en-US"/>
        </w:rPr>
        <w:t>Introduction</w:t>
      </w:r>
    </w:p>
    <w:p w14:paraId="306A5AC2" w14:textId="77777777" w:rsidR="00CD2E4C" w:rsidRDefault="00CD2E4C" w:rsidP="00CD2E4C">
      <w:pPr>
        <w:pStyle w:val="Nessunaspaziatura"/>
        <w:jc w:val="both"/>
        <w:rPr>
          <w:rFonts w:ascii="Times New Roman" w:hAnsi="Times New Roman"/>
          <w:sz w:val="24"/>
          <w:szCs w:val="24"/>
          <w:lang w:val="en-GB"/>
        </w:rPr>
      </w:pPr>
      <w:r w:rsidRPr="00CD2E4C">
        <w:rPr>
          <w:rFonts w:ascii="Times New Roman" w:hAnsi="Times New Roman"/>
          <w:sz w:val="24"/>
          <w:szCs w:val="24"/>
          <w:lang w:val="en-GB"/>
        </w:rPr>
        <w:t xml:space="preserve">The blood-brain barrier (BBB) plays an important role in maintaining the homeostasis of the central nervous system and in protecting the brain from potentially harmful endogenous and exogenous compounds. Nevertheless it represents also the major obstacle for the diagnosis and therapy of brain diseases. One of the most promising strategies to overcome the limited BBB penetration of drugs and contrast agents is based on nanoparticles (NP). Lipid based NP, basically liposomes and solid lipid nanoparticles (SLN), have several advantages in terms of biocompatibility, non-immunogenicity, non-toxicity; they can be used as carrier systems [1], and they have a high blood circulation residence time [2]. Moreover their surface can be easily modified with ligands which mediate a site-specific targeting. </w:t>
      </w:r>
    </w:p>
    <w:p w14:paraId="7B289C70" w14:textId="77777777" w:rsidR="00CD2E4C" w:rsidRDefault="00CD2E4C" w:rsidP="00CD2E4C">
      <w:pPr>
        <w:pStyle w:val="Nessunaspaziatura"/>
        <w:jc w:val="both"/>
        <w:rPr>
          <w:rFonts w:ascii="Times New Roman" w:hAnsi="Times New Roman"/>
          <w:sz w:val="24"/>
          <w:szCs w:val="24"/>
          <w:lang w:val="en-GB"/>
        </w:rPr>
      </w:pPr>
    </w:p>
    <w:p w14:paraId="60067E54" w14:textId="77777777" w:rsidR="00CD2E4C" w:rsidRDefault="00CD2E4C" w:rsidP="00CD2E4C">
      <w:pPr>
        <w:pStyle w:val="Nessunaspaziatura"/>
        <w:jc w:val="both"/>
        <w:rPr>
          <w:rFonts w:ascii="Times New Roman" w:hAnsi="Times New Roman"/>
          <w:i/>
          <w:sz w:val="24"/>
          <w:szCs w:val="24"/>
          <w:lang w:val="en-GB"/>
        </w:rPr>
      </w:pPr>
      <w:r w:rsidRPr="00CD2E4C">
        <w:rPr>
          <w:rFonts w:ascii="Times New Roman" w:hAnsi="Times New Roman"/>
          <w:i/>
          <w:sz w:val="24"/>
          <w:szCs w:val="24"/>
          <w:lang w:val="en-GB"/>
        </w:rPr>
        <w:t>Goal of the work</w:t>
      </w:r>
    </w:p>
    <w:p w14:paraId="74295047" w14:textId="34AFEB26" w:rsidR="008B3F23" w:rsidRDefault="008B3F23" w:rsidP="00CD2E4C">
      <w:pPr>
        <w:pStyle w:val="Nessunaspaziatura"/>
        <w:jc w:val="both"/>
        <w:rPr>
          <w:rFonts w:ascii="Times New Roman" w:hAnsi="Times New Roman"/>
          <w:sz w:val="24"/>
          <w:szCs w:val="24"/>
          <w:lang w:val="en-US"/>
        </w:rPr>
      </w:pPr>
      <w:r w:rsidRPr="008B3F23">
        <w:rPr>
          <w:rFonts w:ascii="Times New Roman" w:hAnsi="Times New Roman"/>
          <w:sz w:val="24"/>
          <w:szCs w:val="24"/>
          <w:lang w:val="en-US"/>
        </w:rPr>
        <w:t>The objective of present investigation was to study the effect of surface character</w:t>
      </w:r>
      <w:r w:rsidR="00AE7F90">
        <w:rPr>
          <w:rFonts w:ascii="Times New Roman" w:hAnsi="Times New Roman"/>
          <w:sz w:val="24"/>
          <w:szCs w:val="24"/>
          <w:lang w:val="en-US"/>
        </w:rPr>
        <w:t>istics of SLN</w:t>
      </w:r>
      <w:r w:rsidRPr="008B3F23">
        <w:rPr>
          <w:rFonts w:ascii="Times New Roman" w:hAnsi="Times New Roman"/>
          <w:sz w:val="24"/>
          <w:szCs w:val="24"/>
          <w:lang w:val="en-US"/>
        </w:rPr>
        <w:t xml:space="preserve"> covalently coupled with the monomer of ApoE-residues (141-150)</w:t>
      </w:r>
      <w:r w:rsidR="00FB0CAE">
        <w:rPr>
          <w:rFonts w:ascii="Times New Roman" w:hAnsi="Times New Roman"/>
          <w:sz w:val="24"/>
          <w:szCs w:val="24"/>
          <w:lang w:val="en-US"/>
        </w:rPr>
        <w:t xml:space="preserve"> (mApoE-SLN)</w:t>
      </w:r>
      <w:r w:rsidRPr="008B3F23">
        <w:rPr>
          <w:rFonts w:ascii="Times New Roman" w:hAnsi="Times New Roman"/>
          <w:sz w:val="24"/>
          <w:szCs w:val="24"/>
          <w:lang w:val="en-US"/>
        </w:rPr>
        <w:t xml:space="preserve"> </w:t>
      </w:r>
      <w:r>
        <w:rPr>
          <w:rFonts w:ascii="Times New Roman" w:hAnsi="Times New Roman"/>
          <w:sz w:val="24"/>
          <w:szCs w:val="24"/>
          <w:lang w:val="en-US"/>
        </w:rPr>
        <w:t xml:space="preserve">in promoting BBB crossing and brain targeting </w:t>
      </w:r>
      <w:r w:rsidR="001B1BFC">
        <w:rPr>
          <w:rFonts w:ascii="Times New Roman" w:hAnsi="Times New Roman"/>
          <w:sz w:val="24"/>
          <w:szCs w:val="24"/>
          <w:lang w:val="en-US"/>
        </w:rPr>
        <w:t>using both</w:t>
      </w:r>
      <w:r>
        <w:rPr>
          <w:rFonts w:ascii="Times New Roman" w:hAnsi="Times New Roman"/>
          <w:sz w:val="24"/>
          <w:szCs w:val="24"/>
          <w:lang w:val="en-US"/>
        </w:rPr>
        <w:t xml:space="preserve"> in </w:t>
      </w:r>
      <w:r w:rsidRPr="008B3F23">
        <w:rPr>
          <w:rFonts w:ascii="Times New Roman" w:hAnsi="Times New Roman"/>
          <w:i/>
          <w:sz w:val="24"/>
          <w:szCs w:val="24"/>
          <w:lang w:val="en-US"/>
        </w:rPr>
        <w:t>vitro</w:t>
      </w:r>
      <w:r>
        <w:rPr>
          <w:rFonts w:ascii="Times New Roman" w:hAnsi="Times New Roman"/>
          <w:sz w:val="24"/>
          <w:szCs w:val="24"/>
          <w:lang w:val="en-US"/>
        </w:rPr>
        <w:t xml:space="preserve"> and in </w:t>
      </w:r>
      <w:r w:rsidRPr="008B3F23">
        <w:rPr>
          <w:rFonts w:ascii="Times New Roman" w:hAnsi="Times New Roman"/>
          <w:i/>
          <w:sz w:val="24"/>
          <w:szCs w:val="24"/>
          <w:lang w:val="en-US"/>
        </w:rPr>
        <w:t>vivo</w:t>
      </w:r>
      <w:r w:rsidR="001B1BFC">
        <w:rPr>
          <w:rFonts w:ascii="Times New Roman" w:hAnsi="Times New Roman"/>
          <w:i/>
          <w:sz w:val="24"/>
          <w:szCs w:val="24"/>
          <w:lang w:val="en-US"/>
        </w:rPr>
        <w:t xml:space="preserve"> </w:t>
      </w:r>
      <w:r w:rsidR="001B1BFC" w:rsidRPr="001B1BFC">
        <w:rPr>
          <w:rFonts w:ascii="Times New Roman" w:hAnsi="Times New Roman"/>
          <w:sz w:val="24"/>
          <w:szCs w:val="24"/>
          <w:lang w:val="en-US"/>
        </w:rPr>
        <w:t>models</w:t>
      </w:r>
      <w:r>
        <w:rPr>
          <w:rFonts w:ascii="Times New Roman" w:hAnsi="Times New Roman"/>
          <w:sz w:val="24"/>
          <w:szCs w:val="24"/>
          <w:lang w:val="en-US"/>
        </w:rPr>
        <w:t>.</w:t>
      </w:r>
    </w:p>
    <w:p w14:paraId="6FF9A5FB" w14:textId="77777777" w:rsidR="008B3F23" w:rsidRDefault="008B3F23" w:rsidP="00CD2E4C">
      <w:pPr>
        <w:pStyle w:val="Nessunaspaziatura"/>
        <w:jc w:val="both"/>
        <w:rPr>
          <w:rFonts w:ascii="Times New Roman" w:hAnsi="Times New Roman"/>
          <w:sz w:val="24"/>
          <w:szCs w:val="24"/>
          <w:lang w:val="en-US"/>
        </w:rPr>
      </w:pPr>
      <w:r>
        <w:rPr>
          <w:rFonts w:ascii="Times New Roman" w:hAnsi="Times New Roman"/>
          <w:sz w:val="24"/>
          <w:szCs w:val="24"/>
          <w:lang w:val="en-US"/>
        </w:rPr>
        <w:t xml:space="preserve"> </w:t>
      </w:r>
    </w:p>
    <w:p w14:paraId="5761877E" w14:textId="4767889B" w:rsidR="008B3F23" w:rsidRDefault="00E43D81" w:rsidP="00CD2E4C">
      <w:pPr>
        <w:pStyle w:val="Nessunaspaziatura"/>
        <w:jc w:val="both"/>
        <w:rPr>
          <w:rFonts w:ascii="Times New Roman" w:hAnsi="Times New Roman"/>
          <w:i/>
          <w:sz w:val="24"/>
          <w:szCs w:val="24"/>
          <w:lang w:val="en-US"/>
        </w:rPr>
      </w:pPr>
      <w:r>
        <w:rPr>
          <w:rFonts w:ascii="Times New Roman" w:hAnsi="Times New Roman"/>
          <w:i/>
          <w:sz w:val="24"/>
          <w:szCs w:val="24"/>
          <w:lang w:val="en-US"/>
        </w:rPr>
        <w:t>Method</w:t>
      </w:r>
      <w:r w:rsidR="00EA66F3" w:rsidRPr="00EA66F3">
        <w:rPr>
          <w:rFonts w:ascii="Times New Roman" w:hAnsi="Times New Roman"/>
          <w:i/>
          <w:sz w:val="24"/>
          <w:szCs w:val="24"/>
          <w:lang w:val="en-US"/>
        </w:rPr>
        <w:t>s</w:t>
      </w:r>
    </w:p>
    <w:p w14:paraId="5397C99C" w14:textId="1391EE81" w:rsidR="0057067A" w:rsidRDefault="00894835" w:rsidP="00CD2E4C">
      <w:pPr>
        <w:pStyle w:val="Nessunaspaziatura"/>
        <w:jc w:val="both"/>
        <w:rPr>
          <w:rFonts w:ascii="Times New Roman" w:hAnsi="Times New Roman"/>
          <w:sz w:val="24"/>
          <w:szCs w:val="24"/>
          <w:lang w:val="en-GB"/>
        </w:rPr>
      </w:pPr>
      <w:r>
        <w:rPr>
          <w:rFonts w:ascii="Times New Roman" w:hAnsi="Times New Roman"/>
          <w:sz w:val="24"/>
          <w:szCs w:val="24"/>
          <w:lang w:val="en-US"/>
        </w:rPr>
        <w:t xml:space="preserve">Radiolabelled or fluorescent dye-loaded SLN, </w:t>
      </w:r>
      <w:r w:rsidRPr="00CD2E4C">
        <w:rPr>
          <w:rFonts w:ascii="Times New Roman" w:hAnsi="Times New Roman"/>
          <w:sz w:val="24"/>
          <w:szCs w:val="24"/>
          <w:lang w:val="en-GB"/>
        </w:rPr>
        <w:t>covalently coupled by DSPE-PEG(2000)-Maleimide with the monomer of ApoE-residues (141-150) [3] and functionalized with phosphatidic acid (Aβ ligands) [4]</w:t>
      </w:r>
      <w:r>
        <w:rPr>
          <w:rFonts w:ascii="Times New Roman" w:hAnsi="Times New Roman"/>
          <w:sz w:val="24"/>
          <w:szCs w:val="24"/>
          <w:lang w:val="en-GB"/>
        </w:rPr>
        <w:t>, were used in the present work</w:t>
      </w:r>
      <w:r w:rsidR="001B1BFC">
        <w:rPr>
          <w:rFonts w:ascii="Times New Roman" w:hAnsi="Times New Roman"/>
          <w:sz w:val="24"/>
          <w:szCs w:val="24"/>
          <w:lang w:val="en-GB"/>
        </w:rPr>
        <w:t xml:space="preserve"> and produced by Nanovector s.r.l</w:t>
      </w:r>
      <w:r>
        <w:rPr>
          <w:rFonts w:ascii="Times New Roman" w:hAnsi="Times New Roman"/>
          <w:sz w:val="24"/>
          <w:szCs w:val="24"/>
          <w:lang w:val="en-GB"/>
        </w:rPr>
        <w:t>.</w:t>
      </w:r>
      <w:r w:rsidR="001B1BFC">
        <w:rPr>
          <w:rFonts w:ascii="Times New Roman" w:hAnsi="Times New Roman"/>
          <w:sz w:val="24"/>
          <w:szCs w:val="24"/>
          <w:lang w:val="en-GB"/>
        </w:rPr>
        <w:t xml:space="preserve"> (Torino, Italy).</w:t>
      </w:r>
      <w:r>
        <w:rPr>
          <w:rFonts w:ascii="Times New Roman" w:hAnsi="Times New Roman"/>
          <w:sz w:val="24"/>
          <w:szCs w:val="24"/>
          <w:lang w:val="en-GB"/>
        </w:rPr>
        <w:t xml:space="preserve"> In </w:t>
      </w:r>
      <w:r w:rsidRPr="00894835">
        <w:rPr>
          <w:rFonts w:ascii="Times New Roman" w:hAnsi="Times New Roman"/>
          <w:i/>
          <w:sz w:val="24"/>
          <w:szCs w:val="24"/>
          <w:lang w:val="en-GB"/>
        </w:rPr>
        <w:t>vitro</w:t>
      </w:r>
      <w:r>
        <w:rPr>
          <w:rFonts w:ascii="Times New Roman" w:hAnsi="Times New Roman"/>
          <w:sz w:val="24"/>
          <w:szCs w:val="24"/>
          <w:lang w:val="en-GB"/>
        </w:rPr>
        <w:t xml:space="preserve"> evaluations were performed using </w:t>
      </w:r>
      <w:r w:rsidRPr="00CD2E4C">
        <w:rPr>
          <w:rFonts w:ascii="Times New Roman" w:hAnsi="Times New Roman"/>
          <w:sz w:val="24"/>
          <w:szCs w:val="24"/>
          <w:lang w:val="en-GB"/>
        </w:rPr>
        <w:t>cultured human cerebral microvascular endothelial cells (hCMEC/D3)</w:t>
      </w:r>
      <w:r w:rsidR="001B1BFC">
        <w:rPr>
          <w:rFonts w:ascii="Times New Roman" w:hAnsi="Times New Roman"/>
          <w:sz w:val="24"/>
          <w:szCs w:val="24"/>
          <w:lang w:val="en-GB"/>
        </w:rPr>
        <w:t xml:space="preserve"> </w:t>
      </w:r>
      <w:r w:rsidR="001B1BFC" w:rsidRPr="001B1BFC">
        <w:rPr>
          <w:rFonts w:ascii="Times New Roman" w:hAnsi="Times New Roman"/>
          <w:sz w:val="24"/>
          <w:szCs w:val="24"/>
          <w:lang w:val="en-GB"/>
        </w:rPr>
        <w:t xml:space="preserve">obtained from </w:t>
      </w:r>
      <w:r w:rsidR="00E43D81" w:rsidRPr="001B1BFC">
        <w:rPr>
          <w:rFonts w:ascii="Times New Roman" w:hAnsi="Times New Roman"/>
          <w:sz w:val="24"/>
          <w:szCs w:val="24"/>
          <w:lang w:val="en-GB"/>
        </w:rPr>
        <w:t>Institute</w:t>
      </w:r>
      <w:r w:rsidR="001B1BFC" w:rsidRPr="001B1BFC">
        <w:rPr>
          <w:rFonts w:ascii="Times New Roman" w:hAnsi="Times New Roman"/>
          <w:sz w:val="24"/>
          <w:szCs w:val="24"/>
          <w:lang w:val="en-GB"/>
        </w:rPr>
        <w:t xml:space="preserve"> Cochin (INSERM, Paris, France)</w:t>
      </w:r>
      <w:r>
        <w:rPr>
          <w:rFonts w:ascii="Times New Roman" w:hAnsi="Times New Roman"/>
          <w:sz w:val="24"/>
          <w:szCs w:val="24"/>
          <w:lang w:val="en-GB"/>
        </w:rPr>
        <w:t xml:space="preserve">. </w:t>
      </w:r>
      <w:r w:rsidRPr="00CD2E4C">
        <w:rPr>
          <w:rFonts w:ascii="Times New Roman" w:hAnsi="Times New Roman"/>
          <w:sz w:val="24"/>
          <w:szCs w:val="24"/>
          <w:lang w:val="en-GB"/>
        </w:rPr>
        <w:t>SLN cell uptake was monitored by confocal-laser-scanni</w:t>
      </w:r>
      <w:r>
        <w:rPr>
          <w:rFonts w:ascii="Times New Roman" w:hAnsi="Times New Roman"/>
          <w:sz w:val="24"/>
          <w:szCs w:val="24"/>
          <w:lang w:val="en-GB"/>
        </w:rPr>
        <w:t>ng microscopy and cell-associated fluorescence was quantified by FACS analysis</w:t>
      </w:r>
      <w:r w:rsidR="00724E48">
        <w:rPr>
          <w:rFonts w:ascii="Times New Roman" w:hAnsi="Times New Roman"/>
          <w:sz w:val="24"/>
          <w:szCs w:val="24"/>
          <w:lang w:val="en-GB"/>
        </w:rPr>
        <w:t xml:space="preserve">. </w:t>
      </w:r>
      <w:r w:rsidR="00A5760C">
        <w:rPr>
          <w:rFonts w:ascii="Times New Roman" w:hAnsi="Times New Roman"/>
          <w:sz w:val="24"/>
          <w:szCs w:val="24"/>
          <w:lang w:val="en-GB"/>
        </w:rPr>
        <w:t>Radiochemical technique was used i</w:t>
      </w:r>
      <w:r w:rsidR="0057067A" w:rsidRPr="00CD2E4C">
        <w:rPr>
          <w:rFonts w:ascii="Times New Roman" w:hAnsi="Times New Roman"/>
          <w:sz w:val="24"/>
          <w:szCs w:val="24"/>
          <w:lang w:val="en-GB"/>
        </w:rPr>
        <w:t>n order to assess the ability of ApoE monomer to enhance SLN transcellular transport</w:t>
      </w:r>
      <w:r w:rsidR="0057067A">
        <w:rPr>
          <w:rFonts w:ascii="Times New Roman" w:hAnsi="Times New Roman"/>
          <w:sz w:val="24"/>
          <w:szCs w:val="24"/>
          <w:lang w:val="en-GB"/>
        </w:rPr>
        <w:t xml:space="preserve"> across the hCMEC/D3 BBB model</w:t>
      </w:r>
      <w:r w:rsidR="00A5760C">
        <w:rPr>
          <w:rFonts w:ascii="Times New Roman" w:hAnsi="Times New Roman"/>
          <w:sz w:val="24"/>
          <w:szCs w:val="24"/>
          <w:lang w:val="en-GB"/>
        </w:rPr>
        <w:t xml:space="preserve"> [5]. </w:t>
      </w:r>
      <w:r w:rsidR="00724E48" w:rsidRPr="00CD2E4C">
        <w:rPr>
          <w:rFonts w:ascii="Times New Roman" w:hAnsi="Times New Roman"/>
          <w:sz w:val="24"/>
          <w:szCs w:val="24"/>
          <w:lang w:val="en-GB"/>
        </w:rPr>
        <w:t xml:space="preserve">The </w:t>
      </w:r>
      <w:r w:rsidR="00724E48">
        <w:rPr>
          <w:rFonts w:ascii="Times New Roman" w:hAnsi="Times New Roman"/>
          <w:sz w:val="24"/>
          <w:szCs w:val="24"/>
          <w:lang w:val="en-GB"/>
        </w:rPr>
        <w:t xml:space="preserve">in </w:t>
      </w:r>
      <w:r w:rsidR="00724E48" w:rsidRPr="00724E48">
        <w:rPr>
          <w:rFonts w:ascii="Times New Roman" w:hAnsi="Times New Roman"/>
          <w:i/>
          <w:sz w:val="24"/>
          <w:szCs w:val="24"/>
          <w:lang w:val="en-GB"/>
        </w:rPr>
        <w:t>vivo</w:t>
      </w:r>
      <w:r w:rsidR="00724E48">
        <w:rPr>
          <w:rFonts w:ascii="Times New Roman" w:hAnsi="Times New Roman"/>
          <w:sz w:val="24"/>
          <w:szCs w:val="24"/>
          <w:lang w:val="en-GB"/>
        </w:rPr>
        <w:t xml:space="preserve"> </w:t>
      </w:r>
      <w:r w:rsidR="00724E48" w:rsidRPr="00CD2E4C">
        <w:rPr>
          <w:rFonts w:ascii="Times New Roman" w:hAnsi="Times New Roman"/>
          <w:sz w:val="24"/>
          <w:szCs w:val="24"/>
          <w:lang w:val="en-GB"/>
        </w:rPr>
        <w:t>biodistribution of SLN, loaded with DiR (</w:t>
      </w:r>
      <w:r w:rsidR="003773ED" w:rsidRPr="003773ED">
        <w:rPr>
          <w:rFonts w:ascii="Times New Roman" w:hAnsi="Times New Roman"/>
          <w:sz w:val="24"/>
          <w:szCs w:val="24"/>
          <w:lang w:val="en-GB"/>
        </w:rPr>
        <w:t>near-infrared fluorescent cyanine dye</w:t>
      </w:r>
      <w:bookmarkStart w:id="0" w:name="_GoBack"/>
      <w:bookmarkEnd w:id="0"/>
      <w:r w:rsidR="00724E48" w:rsidRPr="00CD2E4C">
        <w:rPr>
          <w:rFonts w:ascii="Times New Roman" w:hAnsi="Times New Roman"/>
          <w:sz w:val="24"/>
          <w:szCs w:val="24"/>
          <w:lang w:val="en-GB"/>
        </w:rPr>
        <w:t>), was evaluated by means of Fluorescent Microscopy Tomography (FMT 1500, Perkin Elmer).</w:t>
      </w:r>
      <w:r w:rsidR="00724E48">
        <w:rPr>
          <w:rFonts w:ascii="Times New Roman" w:hAnsi="Times New Roman"/>
          <w:sz w:val="24"/>
          <w:szCs w:val="24"/>
          <w:lang w:val="en-GB"/>
        </w:rPr>
        <w:t xml:space="preserve"> BALB/c male mice were intravenous (IV), intratracheal (IT) or intraperitoneal (IP) administered with 50 ul </w:t>
      </w:r>
      <w:r w:rsidR="00724E48" w:rsidRPr="00A5760C">
        <w:rPr>
          <w:rFonts w:ascii="Times New Roman" w:hAnsi="Times New Roman"/>
          <w:sz w:val="24"/>
          <w:szCs w:val="24"/>
          <w:lang w:val="en-GB"/>
        </w:rPr>
        <w:t xml:space="preserve">of SLN formulation and </w:t>
      </w:r>
      <w:r w:rsidR="00A5760C">
        <w:rPr>
          <w:rFonts w:ascii="Times New Roman" w:hAnsi="Times New Roman"/>
          <w:sz w:val="24"/>
          <w:szCs w:val="24"/>
          <w:lang w:val="en-GB"/>
        </w:rPr>
        <w:t>t</w:t>
      </w:r>
      <w:r w:rsidR="00A5760C" w:rsidRPr="00A5760C">
        <w:rPr>
          <w:rFonts w:ascii="Times New Roman" w:hAnsi="Times New Roman"/>
          <w:sz w:val="24"/>
          <w:szCs w:val="24"/>
          <w:lang w:val="en-GB"/>
        </w:rPr>
        <w:t xml:space="preserve">omographic data </w:t>
      </w:r>
      <w:r w:rsidR="006E1EBE" w:rsidRPr="00A5760C">
        <w:rPr>
          <w:rFonts w:ascii="Times New Roman" w:hAnsi="Times New Roman"/>
          <w:sz w:val="24"/>
          <w:szCs w:val="24"/>
          <w:lang w:val="en-GB"/>
        </w:rPr>
        <w:t>analyses were</w:t>
      </w:r>
      <w:r w:rsidR="00A5760C" w:rsidRPr="00A5760C">
        <w:rPr>
          <w:rFonts w:ascii="Times New Roman" w:hAnsi="Times New Roman"/>
          <w:sz w:val="24"/>
          <w:szCs w:val="24"/>
          <w:lang w:val="en-GB"/>
        </w:rPr>
        <w:t xml:space="preserve"> achieved using the TrueQuant software supplied (Perkin Elmer).</w:t>
      </w:r>
      <w:r w:rsidR="00A5760C">
        <w:rPr>
          <w:rFonts w:ascii="Times New Roman" w:hAnsi="Times New Roman"/>
          <w:sz w:val="24"/>
          <w:szCs w:val="24"/>
          <w:lang w:val="en-GB"/>
        </w:rPr>
        <w:t xml:space="preserve"> </w:t>
      </w:r>
      <w:r w:rsidR="00A5760C" w:rsidRPr="00A5760C">
        <w:rPr>
          <w:rFonts w:ascii="Times New Roman" w:hAnsi="Times New Roman"/>
          <w:sz w:val="24"/>
          <w:szCs w:val="24"/>
          <w:lang w:val="en-GB"/>
        </w:rPr>
        <w:t xml:space="preserve">The total amount (in picomoles) of fluorophore in </w:t>
      </w:r>
      <w:r w:rsidR="00BA7C6F">
        <w:rPr>
          <w:rFonts w:ascii="Times New Roman" w:hAnsi="Times New Roman"/>
          <w:sz w:val="24"/>
          <w:szCs w:val="24"/>
          <w:lang w:val="en-GB"/>
        </w:rPr>
        <w:t>the brain</w:t>
      </w:r>
      <w:r w:rsidR="00A5760C" w:rsidRPr="00A5760C">
        <w:rPr>
          <w:rFonts w:ascii="Times New Roman" w:hAnsi="Times New Roman"/>
          <w:sz w:val="24"/>
          <w:szCs w:val="24"/>
          <w:lang w:val="en-GB"/>
        </w:rPr>
        <w:t xml:space="preserve"> </w:t>
      </w:r>
      <w:r w:rsidR="00A5760C">
        <w:rPr>
          <w:rFonts w:ascii="Times New Roman" w:hAnsi="Times New Roman"/>
          <w:sz w:val="24"/>
          <w:szCs w:val="24"/>
          <w:lang w:val="en-GB"/>
        </w:rPr>
        <w:t>region</w:t>
      </w:r>
      <w:r w:rsidR="00A5760C" w:rsidRPr="00A5760C">
        <w:rPr>
          <w:rFonts w:ascii="Times New Roman" w:hAnsi="Times New Roman"/>
          <w:sz w:val="24"/>
          <w:szCs w:val="24"/>
          <w:lang w:val="en-GB"/>
        </w:rPr>
        <w:t xml:space="preserve"> was calculated by the provided software using previously generated standards of the appropriate dye</w:t>
      </w:r>
      <w:r w:rsidR="00A5760C">
        <w:rPr>
          <w:rFonts w:ascii="Times New Roman" w:hAnsi="Times New Roman"/>
          <w:sz w:val="24"/>
          <w:szCs w:val="24"/>
          <w:lang w:val="en-GB"/>
        </w:rPr>
        <w:t xml:space="preserve"> [6]</w:t>
      </w:r>
      <w:r w:rsidR="004F2992">
        <w:rPr>
          <w:rFonts w:ascii="Times New Roman" w:hAnsi="Times New Roman"/>
          <w:sz w:val="24"/>
          <w:szCs w:val="24"/>
          <w:lang w:val="en-GB"/>
        </w:rPr>
        <w:t>.</w:t>
      </w:r>
    </w:p>
    <w:p w14:paraId="011E418A" w14:textId="77777777" w:rsidR="004F2992" w:rsidRDefault="004F2992" w:rsidP="00CD2E4C">
      <w:pPr>
        <w:pStyle w:val="Nessunaspaziatura"/>
        <w:jc w:val="both"/>
        <w:rPr>
          <w:rFonts w:ascii="Times New Roman" w:hAnsi="Times New Roman"/>
          <w:sz w:val="24"/>
          <w:szCs w:val="24"/>
          <w:lang w:val="en-GB"/>
        </w:rPr>
      </w:pPr>
    </w:p>
    <w:p w14:paraId="6423B9C1" w14:textId="77777777" w:rsidR="004F2992" w:rsidRPr="00AE7F90" w:rsidRDefault="004F2992" w:rsidP="00CD2E4C">
      <w:pPr>
        <w:pStyle w:val="Nessunaspaziatura"/>
        <w:jc w:val="both"/>
        <w:rPr>
          <w:rFonts w:ascii="Times New Roman" w:hAnsi="Times New Roman"/>
          <w:i/>
          <w:sz w:val="24"/>
          <w:szCs w:val="24"/>
          <w:lang w:val="en-GB"/>
        </w:rPr>
      </w:pPr>
      <w:r w:rsidRPr="00AE7F90">
        <w:rPr>
          <w:rFonts w:ascii="Times New Roman" w:hAnsi="Times New Roman"/>
          <w:i/>
          <w:sz w:val="24"/>
          <w:szCs w:val="24"/>
          <w:lang w:val="en-GB"/>
        </w:rPr>
        <w:t>Results and Discussion</w:t>
      </w:r>
    </w:p>
    <w:p w14:paraId="499A09B7" w14:textId="7F02C5EB" w:rsidR="00D734B4" w:rsidRPr="00FB0CAE" w:rsidRDefault="001B1BFC" w:rsidP="00D734B4">
      <w:pPr>
        <w:pStyle w:val="Nessunaspaziatura"/>
        <w:jc w:val="both"/>
        <w:rPr>
          <w:rFonts w:ascii="Times New Roman" w:hAnsi="Times New Roman"/>
          <w:sz w:val="24"/>
          <w:szCs w:val="24"/>
          <w:lang w:val="en-GB"/>
        </w:rPr>
      </w:pPr>
      <w:r>
        <w:rPr>
          <w:rFonts w:ascii="Times New Roman" w:hAnsi="Times New Roman"/>
          <w:sz w:val="24"/>
          <w:szCs w:val="24"/>
          <w:lang w:val="en-GB"/>
        </w:rPr>
        <w:t>We demonstrated that s</w:t>
      </w:r>
      <w:r w:rsidR="00110A36">
        <w:rPr>
          <w:rFonts w:ascii="Times New Roman" w:hAnsi="Times New Roman"/>
          <w:sz w:val="24"/>
          <w:szCs w:val="24"/>
          <w:lang w:val="en-GB"/>
        </w:rPr>
        <w:t>urface functionalization of SLN</w:t>
      </w:r>
      <w:r w:rsidR="00AE7F90" w:rsidRPr="00AE7F90">
        <w:rPr>
          <w:rFonts w:ascii="Times New Roman" w:hAnsi="Times New Roman"/>
          <w:sz w:val="24"/>
          <w:szCs w:val="24"/>
          <w:lang w:val="en-GB"/>
        </w:rPr>
        <w:t xml:space="preserve"> with ApoE monomer plays a major role in promoting their cellular uptake</w:t>
      </w:r>
      <w:r w:rsidR="00BE517D">
        <w:rPr>
          <w:rFonts w:ascii="Times New Roman" w:hAnsi="Times New Roman"/>
          <w:sz w:val="24"/>
          <w:szCs w:val="24"/>
          <w:lang w:val="en-GB"/>
        </w:rPr>
        <w:t xml:space="preserve"> within hCMEC/D3</w:t>
      </w:r>
      <w:r w:rsidR="00AE7F90" w:rsidRPr="00AE7F90">
        <w:rPr>
          <w:rFonts w:ascii="Times New Roman" w:hAnsi="Times New Roman"/>
          <w:sz w:val="24"/>
          <w:szCs w:val="24"/>
          <w:lang w:val="en-GB"/>
        </w:rPr>
        <w:t>.</w:t>
      </w:r>
      <w:r w:rsidR="00AE7F90">
        <w:rPr>
          <w:rFonts w:ascii="Times New Roman" w:hAnsi="Times New Roman"/>
          <w:sz w:val="24"/>
          <w:szCs w:val="24"/>
          <w:lang w:val="en-GB"/>
        </w:rPr>
        <w:t xml:space="preserve"> </w:t>
      </w:r>
      <w:r w:rsidR="00FB0CAE" w:rsidRPr="00FB0CAE">
        <w:rPr>
          <w:rFonts w:ascii="Times New Roman" w:hAnsi="Times New Roman"/>
          <w:sz w:val="24"/>
          <w:szCs w:val="24"/>
          <w:lang w:val="en-GB"/>
        </w:rPr>
        <w:t>Cell associated fluorescence was about two-fold higher in presence of SLN-mApo</w:t>
      </w:r>
      <w:r w:rsidR="00FB0CAE">
        <w:rPr>
          <w:rFonts w:ascii="Times New Roman" w:hAnsi="Times New Roman"/>
          <w:sz w:val="24"/>
          <w:szCs w:val="24"/>
          <w:lang w:val="en-GB"/>
        </w:rPr>
        <w:t>E</w:t>
      </w:r>
      <w:r w:rsidR="00FB0CAE" w:rsidRPr="00FB0CAE">
        <w:rPr>
          <w:rFonts w:ascii="Times New Roman" w:hAnsi="Times New Roman"/>
          <w:sz w:val="24"/>
          <w:szCs w:val="24"/>
          <w:lang w:val="en-GB"/>
        </w:rPr>
        <w:t xml:space="preserve"> compared to </w:t>
      </w:r>
      <w:r w:rsidR="00FB0CAE">
        <w:rPr>
          <w:rFonts w:ascii="Times New Roman" w:hAnsi="Times New Roman"/>
          <w:sz w:val="24"/>
          <w:szCs w:val="24"/>
          <w:lang w:val="en-GB"/>
        </w:rPr>
        <w:t>unfunctionalized SLN</w:t>
      </w:r>
      <w:r w:rsidR="00A4464B">
        <w:rPr>
          <w:rFonts w:ascii="Times New Roman" w:hAnsi="Times New Roman"/>
          <w:sz w:val="24"/>
          <w:szCs w:val="24"/>
          <w:lang w:val="en-GB"/>
        </w:rPr>
        <w:t xml:space="preserve"> (SLN-cys)</w:t>
      </w:r>
      <w:r w:rsidR="00FB0CAE">
        <w:rPr>
          <w:rFonts w:ascii="Times New Roman" w:hAnsi="Times New Roman"/>
          <w:sz w:val="24"/>
          <w:szCs w:val="24"/>
          <w:lang w:val="en-GB"/>
        </w:rPr>
        <w:t xml:space="preserve"> and t</w:t>
      </w:r>
      <w:r w:rsidR="00FB0CAE" w:rsidRPr="00FB0CAE">
        <w:rPr>
          <w:rFonts w:ascii="Times New Roman" w:hAnsi="Times New Roman"/>
          <w:sz w:val="24"/>
          <w:szCs w:val="24"/>
          <w:lang w:val="en-GB"/>
        </w:rPr>
        <w:t>he same trend was observed by CLSM analysis.</w:t>
      </w:r>
      <w:r w:rsidR="00FB0CAE">
        <w:rPr>
          <w:rFonts w:ascii="Times New Roman" w:hAnsi="Times New Roman"/>
          <w:sz w:val="24"/>
          <w:szCs w:val="24"/>
          <w:lang w:val="en-GB"/>
        </w:rPr>
        <w:t xml:space="preserve"> The ability of SLN</w:t>
      </w:r>
      <w:r w:rsidR="00FB0CAE" w:rsidRPr="00FB0CAE">
        <w:rPr>
          <w:rFonts w:ascii="Times New Roman" w:hAnsi="Times New Roman"/>
          <w:sz w:val="24"/>
          <w:szCs w:val="24"/>
          <w:lang w:val="en-GB"/>
        </w:rPr>
        <w:t xml:space="preserve"> to cross the in vitro hCMEC/D3 BBB model was assessed using dual-radiolabelled formulations. </w:t>
      </w:r>
      <w:r w:rsidR="00FB0CAE">
        <w:rPr>
          <w:rFonts w:ascii="Times New Roman" w:hAnsi="Times New Roman"/>
          <w:sz w:val="24"/>
          <w:szCs w:val="24"/>
          <w:lang w:val="en-GB"/>
        </w:rPr>
        <w:t xml:space="preserve">With respect to </w:t>
      </w:r>
      <w:r w:rsidR="00FB0CAE" w:rsidRPr="00CD2E4C">
        <w:rPr>
          <w:rFonts w:ascii="Times New Roman" w:hAnsi="Times New Roman"/>
          <w:sz w:val="24"/>
          <w:szCs w:val="24"/>
          <w:lang w:val="en-GB"/>
        </w:rPr>
        <w:t>SLN</w:t>
      </w:r>
      <w:r w:rsidR="00A4464B">
        <w:rPr>
          <w:rFonts w:ascii="Times New Roman" w:hAnsi="Times New Roman"/>
          <w:sz w:val="24"/>
          <w:szCs w:val="24"/>
          <w:lang w:val="en-GB"/>
        </w:rPr>
        <w:t>-cys</w:t>
      </w:r>
      <w:r w:rsidR="00FB0CAE" w:rsidRPr="00CD2E4C">
        <w:rPr>
          <w:rFonts w:ascii="Times New Roman" w:hAnsi="Times New Roman"/>
          <w:sz w:val="24"/>
          <w:szCs w:val="24"/>
          <w:lang w:val="en-GB"/>
        </w:rPr>
        <w:t>, the presence of monomer ApoE significantly enhanced their permeabi</w:t>
      </w:r>
      <w:r w:rsidR="00D734B4">
        <w:rPr>
          <w:rFonts w:ascii="Times New Roman" w:hAnsi="Times New Roman"/>
          <w:sz w:val="24"/>
          <w:szCs w:val="24"/>
          <w:lang w:val="en-GB"/>
        </w:rPr>
        <w:t>lity through the cell monolayer; m</w:t>
      </w:r>
      <w:r w:rsidR="00D734B4" w:rsidRPr="00FB0CAE">
        <w:rPr>
          <w:rFonts w:ascii="Times New Roman" w:hAnsi="Times New Roman"/>
          <w:sz w:val="24"/>
          <w:szCs w:val="24"/>
          <w:lang w:val="en-GB"/>
        </w:rPr>
        <w:t xml:space="preserve">oreover </w:t>
      </w:r>
      <w:r w:rsidR="00D734B4" w:rsidRPr="00FB0CAE">
        <w:rPr>
          <w:rFonts w:ascii="Times New Roman" w:hAnsi="Times New Roman"/>
          <w:sz w:val="24"/>
          <w:szCs w:val="24"/>
          <w:lang w:val="en-GB"/>
        </w:rPr>
        <w:lastRenderedPageBreak/>
        <w:t>PE values obtained with the two radiotracers were equivalent for the same SLN formulation, and a</w:t>
      </w:r>
      <w:r w:rsidR="00D734B4">
        <w:rPr>
          <w:rFonts w:ascii="Times New Roman" w:hAnsi="Times New Roman"/>
          <w:sz w:val="24"/>
          <w:szCs w:val="24"/>
          <w:lang w:val="en-GB"/>
        </w:rPr>
        <w:t>bout 6-fold higher for SLN-mApo</w:t>
      </w:r>
      <w:r w:rsidR="00707E28">
        <w:rPr>
          <w:rFonts w:ascii="Times New Roman" w:hAnsi="Times New Roman"/>
          <w:sz w:val="24"/>
          <w:szCs w:val="24"/>
          <w:lang w:val="en-GB"/>
        </w:rPr>
        <w:t>E</w:t>
      </w:r>
      <w:r w:rsidR="00D734B4">
        <w:rPr>
          <w:rFonts w:ascii="Times New Roman" w:hAnsi="Times New Roman"/>
          <w:sz w:val="24"/>
          <w:szCs w:val="24"/>
          <w:lang w:val="en-GB"/>
        </w:rPr>
        <w:t xml:space="preserve"> (Fig. 1). </w:t>
      </w:r>
      <w:r w:rsidR="00D734B4" w:rsidRPr="00FB0CAE">
        <w:rPr>
          <w:rFonts w:ascii="Times New Roman" w:hAnsi="Times New Roman"/>
          <w:sz w:val="24"/>
          <w:szCs w:val="24"/>
          <w:lang w:val="en-GB"/>
        </w:rPr>
        <w:t>These results suggest that, a</w:t>
      </w:r>
      <w:r w:rsidR="00A4464B">
        <w:rPr>
          <w:rFonts w:ascii="Times New Roman" w:hAnsi="Times New Roman"/>
          <w:sz w:val="24"/>
          <w:szCs w:val="24"/>
          <w:lang w:val="en-GB"/>
        </w:rPr>
        <w:t>t least at the dose tested, SLN</w:t>
      </w:r>
      <w:r w:rsidR="00D734B4" w:rsidRPr="00FB0CAE">
        <w:rPr>
          <w:rFonts w:ascii="Times New Roman" w:hAnsi="Times New Roman"/>
          <w:sz w:val="24"/>
          <w:szCs w:val="24"/>
          <w:lang w:val="en-GB"/>
        </w:rPr>
        <w:t xml:space="preserve"> cross intact the cell monolayer.</w:t>
      </w:r>
    </w:p>
    <w:p w14:paraId="35737AD6" w14:textId="77777777" w:rsidR="00FB0CAE" w:rsidRDefault="00FB0CAE" w:rsidP="00FB0CAE">
      <w:pPr>
        <w:pStyle w:val="Nessunaspaziatura"/>
        <w:jc w:val="both"/>
        <w:rPr>
          <w:rFonts w:ascii="Times New Roman" w:hAnsi="Times New Roman"/>
          <w:sz w:val="24"/>
          <w:szCs w:val="24"/>
          <w:lang w:val="en-GB"/>
        </w:rPr>
      </w:pPr>
    </w:p>
    <w:p w14:paraId="2A3C36EA" w14:textId="77777777" w:rsidR="00EE133E" w:rsidRPr="00EE133E" w:rsidRDefault="003773ED" w:rsidP="00EE133E">
      <w:pPr>
        <w:pStyle w:val="Nessunaspaziatura"/>
        <w:jc w:val="center"/>
        <w:rPr>
          <w:rFonts w:ascii="Times New Roman" w:hAnsi="Times New Roman"/>
          <w:sz w:val="24"/>
          <w:szCs w:val="24"/>
          <w:lang w:val="en-GB"/>
        </w:rPr>
      </w:pPr>
      <w:r>
        <w:rPr>
          <w:rFonts w:ascii="Times New Roman" w:hAnsi="Times New Roman"/>
          <w:sz w:val="24"/>
          <w:szCs w:val="24"/>
          <w:lang w:val="en-GB"/>
        </w:rPr>
        <w:pict w14:anchorId="480A22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3.8pt;height:188.7pt">
            <v:imagedata r:id="rId7" o:title="DalMagro_FigureXA"/>
          </v:shape>
        </w:pict>
      </w:r>
    </w:p>
    <w:p w14:paraId="63137A4F" w14:textId="5DE709A8" w:rsidR="00FB0CAE" w:rsidRPr="00872F58" w:rsidRDefault="00EE133E" w:rsidP="00EE133E">
      <w:pPr>
        <w:pStyle w:val="Nessunaspaziatura"/>
        <w:jc w:val="center"/>
        <w:rPr>
          <w:rFonts w:ascii="Times New Roman" w:hAnsi="Times New Roman"/>
          <w:i/>
          <w:sz w:val="20"/>
          <w:szCs w:val="24"/>
          <w:lang w:val="en-GB"/>
        </w:rPr>
      </w:pPr>
      <w:r w:rsidRPr="00872F58">
        <w:rPr>
          <w:rFonts w:ascii="Times New Roman" w:hAnsi="Times New Roman"/>
          <w:i/>
          <w:sz w:val="20"/>
          <w:szCs w:val="24"/>
          <w:lang w:val="en-GB"/>
        </w:rPr>
        <w:t xml:space="preserve">Fig.1  </w:t>
      </w:r>
      <w:r w:rsidRPr="00872F58">
        <w:rPr>
          <w:rFonts w:ascii="Times New Roman" w:hAnsi="Times New Roman"/>
          <w:bCs/>
          <w:i/>
          <w:sz w:val="20"/>
          <w:szCs w:val="24"/>
          <w:lang w:val="en-GB"/>
        </w:rPr>
        <w:t>Tran</w:t>
      </w:r>
      <w:r w:rsidR="00A4464B" w:rsidRPr="00872F58">
        <w:rPr>
          <w:rFonts w:ascii="Times New Roman" w:hAnsi="Times New Roman"/>
          <w:bCs/>
          <w:i/>
          <w:sz w:val="20"/>
          <w:szCs w:val="24"/>
          <w:lang w:val="en-GB"/>
        </w:rPr>
        <w:t>sport of dual-radiolabelled SLN</w:t>
      </w:r>
      <w:r w:rsidRPr="00872F58">
        <w:rPr>
          <w:rFonts w:ascii="Times New Roman" w:hAnsi="Times New Roman"/>
          <w:bCs/>
          <w:i/>
          <w:sz w:val="20"/>
          <w:szCs w:val="24"/>
          <w:lang w:val="en-GB"/>
        </w:rPr>
        <w:t xml:space="preserve"> across hCMEC/D3 monolayer</w:t>
      </w:r>
      <w:r w:rsidR="00E57A49">
        <w:rPr>
          <w:rFonts w:ascii="Times New Roman" w:hAnsi="Times New Roman"/>
          <w:bCs/>
          <w:i/>
          <w:sz w:val="20"/>
          <w:szCs w:val="24"/>
          <w:lang w:val="en-GB"/>
        </w:rPr>
        <w:t xml:space="preserve"> (*= p&lt;0,01)</w:t>
      </w:r>
    </w:p>
    <w:p w14:paraId="7D481797" w14:textId="77777777" w:rsidR="00CD2E4C" w:rsidRPr="00872F58" w:rsidRDefault="00CD2E4C" w:rsidP="00CD2E4C">
      <w:pPr>
        <w:pStyle w:val="Nessunaspaziatura"/>
        <w:jc w:val="both"/>
        <w:rPr>
          <w:rFonts w:ascii="Times New Roman" w:hAnsi="Times New Roman"/>
          <w:szCs w:val="24"/>
          <w:lang w:val="en-GB"/>
        </w:rPr>
      </w:pPr>
    </w:p>
    <w:p w14:paraId="51BDF577" w14:textId="4C081642" w:rsidR="00A744A5" w:rsidRPr="00A744A5" w:rsidRDefault="00A744A5" w:rsidP="00A744A5">
      <w:pPr>
        <w:pStyle w:val="Nessunaspaziatura"/>
        <w:jc w:val="both"/>
        <w:rPr>
          <w:rFonts w:ascii="Times New Roman" w:hAnsi="Times New Roman"/>
          <w:sz w:val="24"/>
          <w:szCs w:val="24"/>
          <w:lang w:val="en-GB"/>
        </w:rPr>
      </w:pPr>
      <w:r>
        <w:rPr>
          <w:rFonts w:ascii="Times New Roman" w:hAnsi="Times New Roman"/>
          <w:sz w:val="24"/>
          <w:szCs w:val="24"/>
          <w:lang w:val="en-GB"/>
        </w:rPr>
        <w:t xml:space="preserve">In </w:t>
      </w:r>
      <w:r w:rsidRPr="00A744A5">
        <w:rPr>
          <w:rFonts w:ascii="Times New Roman" w:hAnsi="Times New Roman"/>
          <w:i/>
          <w:sz w:val="24"/>
          <w:szCs w:val="24"/>
          <w:lang w:val="en-GB"/>
        </w:rPr>
        <w:t>vivo</w:t>
      </w:r>
      <w:r>
        <w:rPr>
          <w:rFonts w:ascii="Times New Roman" w:hAnsi="Times New Roman"/>
          <w:sz w:val="24"/>
          <w:szCs w:val="24"/>
          <w:lang w:val="en-GB"/>
        </w:rPr>
        <w:t xml:space="preserve"> results </w:t>
      </w:r>
      <w:r w:rsidRPr="00A744A5">
        <w:rPr>
          <w:rFonts w:ascii="Times New Roman" w:hAnsi="Times New Roman"/>
          <w:sz w:val="24"/>
          <w:szCs w:val="24"/>
          <w:lang w:val="en-GB"/>
        </w:rPr>
        <w:t>confirmed the role of monomer ApoE in sustaining the delivery of SLN to the central nervous system</w:t>
      </w:r>
      <w:r>
        <w:rPr>
          <w:rFonts w:ascii="Times New Roman" w:hAnsi="Times New Roman"/>
          <w:sz w:val="24"/>
          <w:szCs w:val="24"/>
          <w:lang w:val="en-GB"/>
        </w:rPr>
        <w:t xml:space="preserve">. In particular we demonstrated that, </w:t>
      </w:r>
      <w:r w:rsidRPr="00A744A5">
        <w:rPr>
          <w:rFonts w:ascii="Times New Roman" w:hAnsi="Times New Roman"/>
          <w:sz w:val="24"/>
          <w:szCs w:val="24"/>
          <w:lang w:val="en-GB"/>
        </w:rPr>
        <w:t xml:space="preserve">compared to the most common routes for drug administration (IP and IV injections), IT instillation represents the best method to guarantee the </w:t>
      </w:r>
      <w:r w:rsidR="00E43D81">
        <w:rPr>
          <w:rFonts w:ascii="Times New Roman" w:hAnsi="Times New Roman"/>
          <w:sz w:val="24"/>
          <w:szCs w:val="24"/>
          <w:lang w:val="en-GB"/>
        </w:rPr>
        <w:t>biodistribution</w:t>
      </w:r>
      <w:r w:rsidRPr="00A744A5">
        <w:rPr>
          <w:rFonts w:ascii="Times New Roman" w:hAnsi="Times New Roman"/>
          <w:sz w:val="24"/>
          <w:szCs w:val="24"/>
          <w:lang w:val="en-GB"/>
        </w:rPr>
        <w:t xml:space="preserve"> of SLN-mApo</w:t>
      </w:r>
      <w:r w:rsidR="00707E28">
        <w:rPr>
          <w:rFonts w:ascii="Times New Roman" w:hAnsi="Times New Roman"/>
          <w:sz w:val="24"/>
          <w:szCs w:val="24"/>
          <w:lang w:val="en-GB"/>
        </w:rPr>
        <w:t>E</w:t>
      </w:r>
      <w:r w:rsidRPr="00A744A5">
        <w:rPr>
          <w:rFonts w:ascii="Times New Roman" w:hAnsi="Times New Roman"/>
          <w:sz w:val="24"/>
          <w:szCs w:val="24"/>
          <w:lang w:val="en-GB"/>
        </w:rPr>
        <w:t xml:space="preserve"> in the brain district and to favour their retention up to 24 hours after the administration</w:t>
      </w:r>
      <w:r>
        <w:rPr>
          <w:rFonts w:ascii="Times New Roman" w:hAnsi="Times New Roman"/>
          <w:sz w:val="24"/>
          <w:szCs w:val="24"/>
          <w:lang w:val="en-GB"/>
        </w:rPr>
        <w:t xml:space="preserve"> (Fig. 2)</w:t>
      </w:r>
      <w:r w:rsidRPr="00A744A5">
        <w:rPr>
          <w:rFonts w:ascii="Times New Roman" w:hAnsi="Times New Roman"/>
          <w:sz w:val="24"/>
          <w:szCs w:val="24"/>
          <w:lang w:val="en-GB"/>
        </w:rPr>
        <w:t>.</w:t>
      </w:r>
    </w:p>
    <w:p w14:paraId="5547402A" w14:textId="77777777" w:rsidR="00872F58" w:rsidRDefault="00872F58" w:rsidP="00872F58">
      <w:pPr>
        <w:pStyle w:val="Nessunaspaziatura"/>
        <w:spacing w:line="276" w:lineRule="auto"/>
        <w:rPr>
          <w:rFonts w:ascii="Times New Roman" w:hAnsi="Times New Roman"/>
          <w:sz w:val="24"/>
          <w:szCs w:val="24"/>
          <w:lang w:val="en-GB"/>
        </w:rPr>
      </w:pPr>
    </w:p>
    <w:p w14:paraId="31BD9BF9" w14:textId="0FE1675E" w:rsidR="00231564" w:rsidRDefault="003773ED" w:rsidP="00231564">
      <w:pPr>
        <w:pStyle w:val="Nessunaspaziatura"/>
        <w:spacing w:line="276" w:lineRule="auto"/>
        <w:jc w:val="center"/>
        <w:rPr>
          <w:rFonts w:ascii="Times New Roman" w:hAnsi="Times New Roman"/>
          <w:sz w:val="24"/>
          <w:szCs w:val="24"/>
          <w:lang w:val="en-GB"/>
        </w:rPr>
      </w:pPr>
      <w:r>
        <w:rPr>
          <w:rFonts w:ascii="Times New Roman" w:hAnsi="Times New Roman"/>
          <w:sz w:val="24"/>
          <w:szCs w:val="24"/>
          <w:lang w:val="en-GB"/>
        </w:rPr>
        <w:pict w14:anchorId="72ADDDE1">
          <v:shape id="_x0000_i1026" type="#_x0000_t75" style="width:279.3pt;height:79.55pt">
            <v:imagedata r:id="rId8" o:title="Tabella % SLN-mApo in brain"/>
          </v:shape>
        </w:pict>
      </w:r>
    </w:p>
    <w:p w14:paraId="1652B1AA" w14:textId="77777777" w:rsidR="00872F58" w:rsidRPr="00872F58" w:rsidRDefault="00872F58" w:rsidP="00872F58">
      <w:pPr>
        <w:pStyle w:val="Nessunaspaziatura"/>
        <w:jc w:val="center"/>
        <w:rPr>
          <w:rFonts w:ascii="Times New Roman" w:hAnsi="Times New Roman"/>
          <w:sz w:val="14"/>
          <w:szCs w:val="24"/>
          <w:lang w:val="en-GB"/>
        </w:rPr>
      </w:pPr>
    </w:p>
    <w:p w14:paraId="7533602F" w14:textId="1BFC17FE" w:rsidR="00231564" w:rsidRPr="00231564" w:rsidRDefault="00231564" w:rsidP="00231564">
      <w:pPr>
        <w:pStyle w:val="Nessunaspaziatura"/>
        <w:jc w:val="center"/>
        <w:rPr>
          <w:rFonts w:ascii="Times New Roman" w:hAnsi="Times New Roman"/>
          <w:i/>
          <w:szCs w:val="24"/>
          <w:lang w:val="en-GB"/>
        </w:rPr>
      </w:pPr>
      <w:r w:rsidRPr="00872F58">
        <w:rPr>
          <w:rFonts w:ascii="Times New Roman" w:hAnsi="Times New Roman"/>
          <w:i/>
          <w:sz w:val="20"/>
          <w:szCs w:val="24"/>
          <w:lang w:val="en-GB"/>
        </w:rPr>
        <w:t xml:space="preserve">Fig. 2  </w:t>
      </w:r>
      <w:r w:rsidR="00142AFB" w:rsidRPr="00872F58">
        <w:rPr>
          <w:rFonts w:ascii="Times New Roman" w:hAnsi="Times New Roman"/>
          <w:bCs/>
          <w:i/>
          <w:sz w:val="20"/>
          <w:szCs w:val="24"/>
          <w:lang w:val="en-GB"/>
        </w:rPr>
        <w:t>Per cent</w:t>
      </w:r>
      <w:r w:rsidRPr="00872F58">
        <w:rPr>
          <w:rFonts w:ascii="Times New Roman" w:hAnsi="Times New Roman"/>
          <w:bCs/>
          <w:i/>
          <w:sz w:val="20"/>
          <w:szCs w:val="24"/>
          <w:lang w:val="en-GB"/>
        </w:rPr>
        <w:t xml:space="preserve"> of SLN-mApo in brain after IP</w:t>
      </w:r>
      <w:r w:rsidR="00142AFB" w:rsidRPr="00872F58">
        <w:rPr>
          <w:rFonts w:ascii="Times New Roman" w:hAnsi="Times New Roman"/>
          <w:bCs/>
          <w:i/>
          <w:sz w:val="20"/>
          <w:szCs w:val="24"/>
          <w:lang w:val="en-GB"/>
        </w:rPr>
        <w:t>, IV</w:t>
      </w:r>
      <w:r w:rsidRPr="00872F58">
        <w:rPr>
          <w:rFonts w:ascii="Times New Roman" w:hAnsi="Times New Roman"/>
          <w:bCs/>
          <w:i/>
          <w:sz w:val="20"/>
          <w:szCs w:val="24"/>
          <w:lang w:val="en-GB"/>
        </w:rPr>
        <w:t xml:space="preserve"> or IT administration</w:t>
      </w:r>
    </w:p>
    <w:p w14:paraId="14AC9D1E" w14:textId="77777777" w:rsidR="00DE0774" w:rsidRDefault="00DE0774" w:rsidP="00CD2E4C">
      <w:pPr>
        <w:pStyle w:val="Nessunaspaziatura"/>
        <w:jc w:val="both"/>
        <w:rPr>
          <w:rFonts w:ascii="Times New Roman" w:hAnsi="Times New Roman"/>
          <w:sz w:val="24"/>
          <w:szCs w:val="24"/>
          <w:lang w:val="en-GB"/>
        </w:rPr>
      </w:pPr>
    </w:p>
    <w:p w14:paraId="22F35705" w14:textId="77E8556D" w:rsidR="00170E5D" w:rsidRPr="00E43D81" w:rsidRDefault="00170E5D" w:rsidP="00170E5D">
      <w:pPr>
        <w:pStyle w:val="Nessunaspaziatura"/>
        <w:jc w:val="both"/>
        <w:rPr>
          <w:rFonts w:ascii="Times New Roman" w:hAnsi="Times New Roman"/>
          <w:sz w:val="24"/>
          <w:szCs w:val="24"/>
          <w:lang w:val="en-US"/>
        </w:rPr>
      </w:pPr>
      <w:r>
        <w:rPr>
          <w:rFonts w:ascii="Times New Roman" w:hAnsi="Times New Roman"/>
          <w:sz w:val="24"/>
          <w:szCs w:val="24"/>
          <w:lang w:val="en-GB"/>
        </w:rPr>
        <w:t>B</w:t>
      </w:r>
      <w:r w:rsidRPr="00170E5D">
        <w:rPr>
          <w:rFonts w:ascii="Times New Roman" w:hAnsi="Times New Roman"/>
          <w:sz w:val="24"/>
          <w:szCs w:val="24"/>
          <w:lang w:val="en-GB"/>
        </w:rPr>
        <w:t>ronchoalveolar lavage fluid</w:t>
      </w:r>
      <w:r>
        <w:rPr>
          <w:rFonts w:ascii="Times New Roman" w:hAnsi="Times New Roman"/>
          <w:sz w:val="24"/>
          <w:szCs w:val="24"/>
          <w:lang w:val="en-GB"/>
        </w:rPr>
        <w:t xml:space="preserve"> (BALF)</w:t>
      </w:r>
      <w:r w:rsidRPr="00170E5D">
        <w:rPr>
          <w:rFonts w:ascii="Times New Roman" w:hAnsi="Times New Roman"/>
          <w:sz w:val="24"/>
          <w:szCs w:val="24"/>
          <w:lang w:val="en-GB"/>
        </w:rPr>
        <w:t xml:space="preserve"> analysis</w:t>
      </w:r>
      <w:r w:rsidRPr="00E43D81">
        <w:rPr>
          <w:rFonts w:ascii="Times New Roman" w:hAnsi="Times New Roman"/>
          <w:sz w:val="24"/>
          <w:szCs w:val="24"/>
          <w:lang w:val="en-US"/>
        </w:rPr>
        <w:t xml:space="preserve"> </w:t>
      </w:r>
      <w:r w:rsidR="0030483A" w:rsidRPr="00170E5D">
        <w:rPr>
          <w:rFonts w:ascii="Times New Roman" w:hAnsi="Times New Roman"/>
          <w:sz w:val="24"/>
          <w:szCs w:val="24"/>
          <w:lang w:val="en-GB"/>
        </w:rPr>
        <w:t>does</w:t>
      </w:r>
      <w:r w:rsidRPr="00170E5D">
        <w:rPr>
          <w:rFonts w:ascii="Times New Roman" w:hAnsi="Times New Roman"/>
          <w:sz w:val="24"/>
          <w:szCs w:val="24"/>
          <w:lang w:val="en-GB"/>
        </w:rPr>
        <w:t xml:space="preserve"> not evidence any pro-inflammatory reaction in lungs of </w:t>
      </w:r>
      <w:r>
        <w:rPr>
          <w:rFonts w:ascii="Times New Roman" w:hAnsi="Times New Roman"/>
          <w:sz w:val="24"/>
          <w:szCs w:val="24"/>
          <w:lang w:val="en-GB"/>
        </w:rPr>
        <w:t>SLN-mApoE</w:t>
      </w:r>
      <w:r w:rsidRPr="00170E5D">
        <w:rPr>
          <w:rFonts w:ascii="Times New Roman" w:hAnsi="Times New Roman"/>
          <w:sz w:val="24"/>
          <w:szCs w:val="24"/>
          <w:lang w:val="en-GB"/>
        </w:rPr>
        <w:t xml:space="preserve"> IT-treated mice with no alteration of the alveolar-capillary barrier permeability</w:t>
      </w:r>
      <w:r>
        <w:rPr>
          <w:rFonts w:ascii="Times New Roman" w:hAnsi="Times New Roman"/>
          <w:sz w:val="24"/>
          <w:szCs w:val="24"/>
          <w:lang w:val="en-GB"/>
        </w:rPr>
        <w:t>.</w:t>
      </w:r>
    </w:p>
    <w:p w14:paraId="6C0D2062" w14:textId="77777777" w:rsidR="0003516C" w:rsidRDefault="0003516C" w:rsidP="00CD2E4C">
      <w:pPr>
        <w:pStyle w:val="Nessunaspaziatura"/>
        <w:jc w:val="both"/>
        <w:rPr>
          <w:rFonts w:ascii="Times New Roman" w:hAnsi="Times New Roman"/>
          <w:sz w:val="24"/>
          <w:szCs w:val="24"/>
          <w:lang w:val="en-GB"/>
        </w:rPr>
      </w:pPr>
    </w:p>
    <w:p w14:paraId="3414EF26" w14:textId="22275774" w:rsidR="00B06C87" w:rsidRPr="00B06C87" w:rsidRDefault="0003516C" w:rsidP="00CD2E4C">
      <w:pPr>
        <w:pStyle w:val="Nessunaspaziatura"/>
        <w:jc w:val="both"/>
        <w:rPr>
          <w:rFonts w:ascii="Times New Roman" w:hAnsi="Times New Roman"/>
          <w:i/>
          <w:sz w:val="24"/>
          <w:szCs w:val="24"/>
          <w:lang w:val="en-GB"/>
        </w:rPr>
      </w:pPr>
      <w:r w:rsidRPr="0003516C">
        <w:rPr>
          <w:rFonts w:ascii="Times New Roman" w:hAnsi="Times New Roman"/>
          <w:i/>
          <w:sz w:val="24"/>
          <w:szCs w:val="24"/>
          <w:lang w:val="en-GB"/>
        </w:rPr>
        <w:t>Conclusions</w:t>
      </w:r>
    </w:p>
    <w:p w14:paraId="781CA8BD" w14:textId="333686D8" w:rsidR="00523350" w:rsidRDefault="00816703" w:rsidP="00CD2E4C">
      <w:pPr>
        <w:pStyle w:val="Nessunaspaziatura"/>
        <w:jc w:val="both"/>
        <w:rPr>
          <w:rFonts w:ascii="Times New Roman" w:hAnsi="Times New Roman"/>
          <w:sz w:val="24"/>
          <w:szCs w:val="24"/>
          <w:lang w:val="en-GB"/>
        </w:rPr>
      </w:pPr>
      <w:r>
        <w:rPr>
          <w:rFonts w:ascii="Times New Roman" w:hAnsi="Times New Roman"/>
          <w:sz w:val="24"/>
          <w:szCs w:val="24"/>
          <w:lang w:val="en-GB"/>
        </w:rPr>
        <w:t xml:space="preserve">The results </w:t>
      </w:r>
      <w:r w:rsidR="00001A36">
        <w:rPr>
          <w:rFonts w:ascii="Times New Roman" w:hAnsi="Times New Roman"/>
          <w:sz w:val="24"/>
          <w:szCs w:val="24"/>
          <w:lang w:val="en-GB"/>
        </w:rPr>
        <w:t xml:space="preserve">here </w:t>
      </w:r>
      <w:r>
        <w:rPr>
          <w:rFonts w:ascii="Times New Roman" w:hAnsi="Times New Roman"/>
          <w:sz w:val="24"/>
          <w:szCs w:val="24"/>
          <w:lang w:val="en-GB"/>
        </w:rPr>
        <w:t xml:space="preserve">obtained suggest that the SLN formulation herein analysed could represent a suitable tool for sustaining drug delivery to the brain. </w:t>
      </w:r>
    </w:p>
    <w:p w14:paraId="3CBF0954" w14:textId="77777777" w:rsidR="00816703" w:rsidRDefault="00816703" w:rsidP="00CD2E4C">
      <w:pPr>
        <w:pStyle w:val="Nessunaspaziatura"/>
        <w:jc w:val="both"/>
        <w:rPr>
          <w:rFonts w:ascii="Times New Roman" w:hAnsi="Times New Roman"/>
          <w:sz w:val="24"/>
          <w:szCs w:val="24"/>
          <w:lang w:val="en-GB"/>
        </w:rPr>
      </w:pPr>
    </w:p>
    <w:p w14:paraId="7F9D9046" w14:textId="09C6BF33" w:rsidR="00CD2E4C" w:rsidRPr="00816703" w:rsidRDefault="00816703" w:rsidP="00CD2E4C">
      <w:pPr>
        <w:pStyle w:val="Nessunaspaziatura"/>
        <w:jc w:val="both"/>
        <w:rPr>
          <w:rFonts w:ascii="Times New Roman" w:hAnsi="Times New Roman"/>
          <w:i/>
          <w:iCs/>
          <w:sz w:val="24"/>
          <w:szCs w:val="24"/>
          <w:lang w:val="en-GB"/>
        </w:rPr>
      </w:pPr>
      <w:r w:rsidRPr="00816703">
        <w:rPr>
          <w:rFonts w:ascii="Times New Roman" w:hAnsi="Times New Roman"/>
          <w:i/>
          <w:iCs/>
          <w:sz w:val="24"/>
          <w:szCs w:val="24"/>
          <w:lang w:val="en-GB"/>
        </w:rPr>
        <w:t>Reference</w:t>
      </w:r>
      <w:r>
        <w:rPr>
          <w:rFonts w:ascii="Times New Roman" w:hAnsi="Times New Roman"/>
          <w:i/>
          <w:iCs/>
          <w:sz w:val="24"/>
          <w:szCs w:val="24"/>
          <w:lang w:val="en-GB"/>
        </w:rPr>
        <w:t>s</w:t>
      </w:r>
    </w:p>
    <w:p w14:paraId="5AB4BC79" w14:textId="77777777" w:rsidR="00CD2E4C" w:rsidRPr="00CD2E4C" w:rsidRDefault="00CD2E4C" w:rsidP="00CD2E4C">
      <w:pPr>
        <w:pStyle w:val="Nessunaspaziatura"/>
        <w:jc w:val="both"/>
        <w:rPr>
          <w:rFonts w:ascii="Times New Roman" w:hAnsi="Times New Roman"/>
          <w:iCs/>
          <w:sz w:val="24"/>
          <w:szCs w:val="24"/>
          <w:lang w:val="en-GB"/>
        </w:rPr>
      </w:pPr>
      <w:r w:rsidRPr="00CD2E4C">
        <w:rPr>
          <w:rFonts w:ascii="Times New Roman" w:hAnsi="Times New Roman"/>
          <w:iCs/>
          <w:sz w:val="24"/>
          <w:szCs w:val="24"/>
          <w:lang w:val="en-GB"/>
        </w:rPr>
        <w:t>1. Priano L et al, Eur J Pharm Biopharm 79 (2011)</w:t>
      </w:r>
    </w:p>
    <w:p w14:paraId="62AF4F49" w14:textId="77777777" w:rsidR="00CD2E4C" w:rsidRPr="00CD2E4C" w:rsidRDefault="00CD2E4C" w:rsidP="00CD2E4C">
      <w:pPr>
        <w:pStyle w:val="Nessunaspaziatura"/>
        <w:jc w:val="both"/>
        <w:rPr>
          <w:rFonts w:ascii="Times New Roman" w:hAnsi="Times New Roman"/>
          <w:iCs/>
          <w:sz w:val="24"/>
          <w:szCs w:val="24"/>
          <w:lang w:val="en-GB"/>
        </w:rPr>
      </w:pPr>
      <w:r w:rsidRPr="00CD2E4C">
        <w:rPr>
          <w:rFonts w:ascii="Times New Roman" w:hAnsi="Times New Roman"/>
          <w:iCs/>
          <w:sz w:val="24"/>
          <w:szCs w:val="24"/>
          <w:lang w:val="en-GB"/>
        </w:rPr>
        <w:t>2. Gasco MR et al, Prog Brain Res 180 (2009)</w:t>
      </w:r>
    </w:p>
    <w:p w14:paraId="7A81A1D8" w14:textId="77777777" w:rsidR="00CD2E4C" w:rsidRPr="00CD2E4C" w:rsidRDefault="00CD2E4C" w:rsidP="00CD2E4C">
      <w:pPr>
        <w:pStyle w:val="Nessunaspaziatura"/>
        <w:jc w:val="both"/>
        <w:rPr>
          <w:rFonts w:ascii="Times New Roman" w:hAnsi="Times New Roman"/>
          <w:iCs/>
          <w:sz w:val="24"/>
          <w:szCs w:val="24"/>
        </w:rPr>
      </w:pPr>
      <w:r w:rsidRPr="00CD2E4C">
        <w:rPr>
          <w:rFonts w:ascii="Times New Roman" w:hAnsi="Times New Roman"/>
          <w:iCs/>
          <w:sz w:val="24"/>
          <w:szCs w:val="24"/>
        </w:rPr>
        <w:t>3. Re F et al, Nanomedicine 7 (2011)</w:t>
      </w:r>
    </w:p>
    <w:p w14:paraId="5A2AE51C" w14:textId="77777777" w:rsidR="00CD2E4C" w:rsidRPr="00CD2E4C" w:rsidRDefault="00CD2E4C" w:rsidP="00CD2E4C">
      <w:pPr>
        <w:pStyle w:val="Nessunaspaziatura"/>
        <w:jc w:val="both"/>
        <w:rPr>
          <w:rFonts w:ascii="Times New Roman" w:hAnsi="Times New Roman"/>
          <w:iCs/>
          <w:sz w:val="24"/>
          <w:szCs w:val="24"/>
          <w:lang w:val="en-US"/>
        </w:rPr>
      </w:pPr>
      <w:r w:rsidRPr="00CD2E4C">
        <w:rPr>
          <w:rFonts w:ascii="Times New Roman" w:hAnsi="Times New Roman"/>
          <w:iCs/>
          <w:sz w:val="24"/>
          <w:szCs w:val="24"/>
          <w:lang w:val="en-US"/>
        </w:rPr>
        <w:t>4. Gobbi M et al, Biomaterials 31 (2010)</w:t>
      </w:r>
    </w:p>
    <w:p w14:paraId="3AA456F0" w14:textId="77777777" w:rsidR="00CD2E4C" w:rsidRPr="00CD2E4C" w:rsidRDefault="00CD2E4C" w:rsidP="00CD2E4C">
      <w:pPr>
        <w:pStyle w:val="Nessunaspaziatura"/>
        <w:jc w:val="both"/>
        <w:rPr>
          <w:rFonts w:ascii="Times New Roman" w:hAnsi="Times New Roman"/>
          <w:iCs/>
          <w:sz w:val="24"/>
          <w:szCs w:val="24"/>
          <w:lang w:val="en-GB"/>
        </w:rPr>
      </w:pPr>
      <w:r w:rsidRPr="00CD2E4C">
        <w:rPr>
          <w:rFonts w:ascii="Times New Roman" w:hAnsi="Times New Roman"/>
          <w:iCs/>
          <w:sz w:val="24"/>
          <w:szCs w:val="24"/>
          <w:lang w:val="en-GB"/>
        </w:rPr>
        <w:t>5. Re F et al, J Biotechnol 156 (2010)</w:t>
      </w:r>
    </w:p>
    <w:p w14:paraId="413BC966" w14:textId="16B15892" w:rsidR="00CD2E4C" w:rsidRPr="000D171B" w:rsidRDefault="00A5760C" w:rsidP="000D171B">
      <w:pPr>
        <w:pStyle w:val="Nessunaspaziatura"/>
        <w:jc w:val="both"/>
        <w:rPr>
          <w:rFonts w:ascii="Times New Roman" w:hAnsi="Times New Roman"/>
          <w:sz w:val="24"/>
          <w:szCs w:val="24"/>
          <w:lang w:val="en-GB"/>
        </w:rPr>
      </w:pPr>
      <w:r>
        <w:rPr>
          <w:rFonts w:ascii="Times New Roman" w:hAnsi="Times New Roman"/>
          <w:sz w:val="24"/>
          <w:szCs w:val="24"/>
          <w:lang w:val="en-GB"/>
        </w:rPr>
        <w:t>6. Tsurumi C et al, PLoS One 12 (2010)</w:t>
      </w:r>
    </w:p>
    <w:p w14:paraId="59771269" w14:textId="77777777" w:rsidR="00475F8F" w:rsidRPr="00CD2E4C" w:rsidRDefault="00475F8F">
      <w:pPr>
        <w:rPr>
          <w:lang w:val="en-GB"/>
        </w:rPr>
      </w:pPr>
    </w:p>
    <w:sectPr w:rsidR="00475F8F" w:rsidRPr="00CD2E4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51081B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doNotDisplayPageBoundaries/>
  <w:proofState w:spelling="clean"/>
  <w:doNotTrackMoves/>
  <w:defaultTabStop w:val="708"/>
  <w:hyphenationZone w:val="283"/>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2E4C"/>
    <w:rsid w:val="00001A36"/>
    <w:rsid w:val="000321B5"/>
    <w:rsid w:val="0003516C"/>
    <w:rsid w:val="000D171B"/>
    <w:rsid w:val="00110A36"/>
    <w:rsid w:val="001134F7"/>
    <w:rsid w:val="00142AFB"/>
    <w:rsid w:val="00170E5D"/>
    <w:rsid w:val="001B1BFC"/>
    <w:rsid w:val="00231564"/>
    <w:rsid w:val="0030483A"/>
    <w:rsid w:val="003773ED"/>
    <w:rsid w:val="00475F8F"/>
    <w:rsid w:val="004834A0"/>
    <w:rsid w:val="004F2992"/>
    <w:rsid w:val="00523350"/>
    <w:rsid w:val="0057067A"/>
    <w:rsid w:val="005B2108"/>
    <w:rsid w:val="006D50BD"/>
    <w:rsid w:val="006E1EBE"/>
    <w:rsid w:val="00707E28"/>
    <w:rsid w:val="00724E48"/>
    <w:rsid w:val="007B17F6"/>
    <w:rsid w:val="00816703"/>
    <w:rsid w:val="00872F58"/>
    <w:rsid w:val="00894835"/>
    <w:rsid w:val="008B3F23"/>
    <w:rsid w:val="00A4464B"/>
    <w:rsid w:val="00A5760C"/>
    <w:rsid w:val="00A744A5"/>
    <w:rsid w:val="00AE7F90"/>
    <w:rsid w:val="00B06C87"/>
    <w:rsid w:val="00B86826"/>
    <w:rsid w:val="00BA7C6F"/>
    <w:rsid w:val="00BE517D"/>
    <w:rsid w:val="00CD2E4C"/>
    <w:rsid w:val="00CE1D6E"/>
    <w:rsid w:val="00D02C9B"/>
    <w:rsid w:val="00D15921"/>
    <w:rsid w:val="00D734B4"/>
    <w:rsid w:val="00DE0774"/>
    <w:rsid w:val="00E43D81"/>
    <w:rsid w:val="00E57A49"/>
    <w:rsid w:val="00EA66F3"/>
    <w:rsid w:val="00EE133E"/>
    <w:rsid w:val="00FB0CA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14:docId w14:val="63694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spacing w:after="200" w:line="276" w:lineRule="auto"/>
    </w:pPr>
    <w:rPr>
      <w:sz w:val="22"/>
      <w:szCs w:val="22"/>
      <w:lang w:eastAsia="en-US"/>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uiPriority w:val="1"/>
    <w:qFormat/>
    <w:rsid w:val="00CD2E4C"/>
    <w:rPr>
      <w:sz w:val="22"/>
      <w:szCs w:val="22"/>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9745694">
      <w:bodyDiv w:val="1"/>
      <w:marLeft w:val="0"/>
      <w:marRight w:val="0"/>
      <w:marTop w:val="0"/>
      <w:marBottom w:val="0"/>
      <w:divBdr>
        <w:top w:val="none" w:sz="0" w:space="0" w:color="auto"/>
        <w:left w:val="none" w:sz="0" w:space="0" w:color="auto"/>
        <w:bottom w:val="none" w:sz="0" w:space="0" w:color="auto"/>
        <w:right w:val="none" w:sz="0" w:space="0" w:color="auto"/>
      </w:divBdr>
    </w:div>
    <w:div w:id="1407997650">
      <w:bodyDiv w:val="1"/>
      <w:marLeft w:val="0"/>
      <w:marRight w:val="0"/>
      <w:marTop w:val="0"/>
      <w:marBottom w:val="0"/>
      <w:divBdr>
        <w:top w:val="none" w:sz="0" w:space="0" w:color="auto"/>
        <w:left w:val="none" w:sz="0" w:space="0" w:color="auto"/>
        <w:bottom w:val="none" w:sz="0" w:space="0" w:color="auto"/>
        <w:right w:val="none" w:sz="0" w:space="0" w:color="auto"/>
      </w:divBdr>
      <w:divsChild>
        <w:div w:id="1057361803">
          <w:marLeft w:val="446"/>
          <w:marRight w:val="0"/>
          <w:marTop w:val="0"/>
          <w:marBottom w:val="0"/>
          <w:divBdr>
            <w:top w:val="none" w:sz="0" w:space="0" w:color="auto"/>
            <w:left w:val="none" w:sz="0" w:space="0" w:color="auto"/>
            <w:bottom w:val="none" w:sz="0" w:space="0" w:color="auto"/>
            <w:right w:val="none" w:sz="0" w:space="0" w:color="auto"/>
          </w:divBdr>
        </w:div>
      </w:divsChild>
    </w:div>
    <w:div w:id="1702512057">
      <w:bodyDiv w:val="1"/>
      <w:marLeft w:val="0"/>
      <w:marRight w:val="0"/>
      <w:marTop w:val="0"/>
      <w:marBottom w:val="0"/>
      <w:divBdr>
        <w:top w:val="none" w:sz="0" w:space="0" w:color="auto"/>
        <w:left w:val="none" w:sz="0" w:space="0" w:color="auto"/>
        <w:bottom w:val="none" w:sz="0" w:space="0" w:color="auto"/>
        <w:right w:val="none" w:sz="0" w:space="0" w:color="auto"/>
      </w:divBdr>
    </w:div>
    <w:div w:id="177631847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7FC9DD-3F36-734D-A955-2B7D4DCD8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768</Words>
  <Characters>4381</Characters>
  <Application>Microsoft Macintosh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5139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dalmagro</dc:creator>
  <cp:lastModifiedBy>R DM</cp:lastModifiedBy>
  <cp:revision>11</cp:revision>
  <dcterms:created xsi:type="dcterms:W3CDTF">2014-05-08T10:07:00Z</dcterms:created>
  <dcterms:modified xsi:type="dcterms:W3CDTF">2014-05-08T15:34:00Z</dcterms:modified>
</cp:coreProperties>
</file>