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30FD" w:rsidRDefault="00887155" w:rsidP="008230FD">
      <w:pPr>
        <w:pStyle w:val="Titolo1"/>
        <w:spacing w:before="0" w:beforeAutospacing="0" w:after="0" w:afterAutospacing="0"/>
        <w:ind w:right="98"/>
        <w:jc w:val="center"/>
        <w:rPr>
          <w:b w:val="0"/>
          <w:sz w:val="16"/>
          <w:szCs w:val="16"/>
        </w:rPr>
      </w:pPr>
      <w:bookmarkStart w:id="0" w:name="OLE_LINK1"/>
      <w:r>
        <w:rPr>
          <w:b w:val="0"/>
          <w:noProof/>
          <w:sz w:val="16"/>
          <w:szCs w:val="16"/>
        </w:rPr>
        <w:drawing>
          <wp:inline distT="0" distB="0" distL="0" distR="0">
            <wp:extent cx="2847975" cy="1295400"/>
            <wp:effectExtent l="19050" t="0" r="9525" b="0"/>
            <wp:docPr id="1" name="Immagine 1" descr="SSM_marchio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SM_marchioh"/>
                    <pic:cNvPicPr>
                      <a:picLocks noChangeAspect="1" noChangeArrowheads="1"/>
                    </pic:cNvPicPr>
                  </pic:nvPicPr>
                  <pic:blipFill>
                    <a:blip r:embed="rId5"/>
                    <a:srcRect/>
                    <a:stretch>
                      <a:fillRect/>
                    </a:stretch>
                  </pic:blipFill>
                  <pic:spPr bwMode="auto">
                    <a:xfrm>
                      <a:off x="0" y="0"/>
                      <a:ext cx="2847975" cy="1295400"/>
                    </a:xfrm>
                    <a:prstGeom prst="rect">
                      <a:avLst/>
                    </a:prstGeom>
                    <a:noFill/>
                    <a:ln w="9525">
                      <a:noFill/>
                      <a:miter lim="800000"/>
                      <a:headEnd/>
                      <a:tailEnd/>
                    </a:ln>
                  </pic:spPr>
                </pic:pic>
              </a:graphicData>
            </a:graphic>
          </wp:inline>
        </w:drawing>
      </w:r>
    </w:p>
    <w:p w:rsidR="008230FD" w:rsidRPr="00A43874" w:rsidRDefault="008230FD" w:rsidP="008230FD">
      <w:pPr>
        <w:pStyle w:val="Titolo1"/>
        <w:spacing w:before="0" w:beforeAutospacing="0" w:after="0" w:afterAutospacing="0"/>
        <w:ind w:right="98"/>
        <w:jc w:val="center"/>
        <w:rPr>
          <w:b w:val="0"/>
          <w:bCs w:val="0"/>
          <w:sz w:val="16"/>
          <w:szCs w:val="16"/>
        </w:rPr>
      </w:pPr>
    </w:p>
    <w:p w:rsidR="008230FD" w:rsidRPr="00A43874" w:rsidRDefault="008230FD" w:rsidP="008230FD">
      <w:pPr>
        <w:pStyle w:val="Corpodeltesto2"/>
        <w:spacing w:before="0" w:beforeAutospacing="0" w:after="0" w:afterAutospacing="0"/>
        <w:jc w:val="center"/>
        <w:rPr>
          <w:rStyle w:val="Enfasigrassetto"/>
          <w:sz w:val="18"/>
          <w:szCs w:val="28"/>
        </w:rPr>
      </w:pPr>
      <w:r w:rsidRPr="00A43874">
        <w:rPr>
          <w:rStyle w:val="Enfasigrassetto"/>
          <w:iCs/>
          <w:sz w:val="18"/>
          <w:szCs w:val="28"/>
        </w:rPr>
        <w:t xml:space="preserve">STRUTTURA TERRITORIALE DI FORMAZIONE </w:t>
      </w:r>
      <w:r>
        <w:rPr>
          <w:rStyle w:val="Enfasigrassetto"/>
          <w:iCs/>
          <w:sz w:val="18"/>
          <w:szCs w:val="28"/>
        </w:rPr>
        <w:t xml:space="preserve">DECENTRATA DEL DISTRETTO </w:t>
      </w:r>
      <w:r w:rsidRPr="00A43874">
        <w:rPr>
          <w:rStyle w:val="Enfasigrassetto"/>
          <w:iCs/>
          <w:sz w:val="18"/>
          <w:szCs w:val="28"/>
        </w:rPr>
        <w:t>DI MILANO</w:t>
      </w:r>
    </w:p>
    <w:p w:rsidR="008230FD" w:rsidRPr="00A43874" w:rsidRDefault="008230FD" w:rsidP="008230FD">
      <w:pPr>
        <w:pStyle w:val="Titolo"/>
        <w:spacing w:before="0" w:beforeAutospacing="0" w:after="0" w:afterAutospacing="0"/>
        <w:jc w:val="center"/>
        <w:rPr>
          <w:rStyle w:val="Enfasicorsivo"/>
          <w:bCs/>
          <w:iCs w:val="0"/>
          <w:color w:val="000000"/>
          <w:sz w:val="16"/>
          <w:szCs w:val="16"/>
        </w:rPr>
      </w:pPr>
      <w:r w:rsidRPr="00A43874">
        <w:rPr>
          <w:rStyle w:val="Enfasicorsivo"/>
          <w:bCs/>
          <w:iCs w:val="0"/>
          <w:color w:val="000000"/>
          <w:sz w:val="16"/>
          <w:szCs w:val="16"/>
        </w:rPr>
        <w:t>Giuseppe Buffone, Giuseppe Cernuto, Filippo D’Aquino, Fabrizio D’Arcangelo,</w:t>
      </w:r>
    </w:p>
    <w:p w:rsidR="008230FD" w:rsidRPr="00A43874" w:rsidRDefault="008230FD" w:rsidP="008230FD">
      <w:pPr>
        <w:pStyle w:val="Titolo"/>
        <w:spacing w:before="0" w:beforeAutospacing="0" w:after="0" w:afterAutospacing="0"/>
        <w:jc w:val="center"/>
        <w:rPr>
          <w:rStyle w:val="Enfasicorsivo"/>
          <w:bCs/>
          <w:iCs w:val="0"/>
          <w:color w:val="000000"/>
          <w:sz w:val="16"/>
          <w:szCs w:val="16"/>
        </w:rPr>
      </w:pPr>
      <w:r w:rsidRPr="00A43874">
        <w:rPr>
          <w:rStyle w:val="Enfasicorsivo"/>
          <w:bCs/>
          <w:iCs w:val="0"/>
          <w:color w:val="000000"/>
          <w:sz w:val="16"/>
          <w:szCs w:val="16"/>
        </w:rPr>
        <w:t>Francesca Fiecconi, Federico Rolfi, Adriano Scudieri</w:t>
      </w:r>
    </w:p>
    <w:p w:rsidR="008230FD" w:rsidRPr="00C1270E" w:rsidRDefault="008230FD" w:rsidP="008230FD">
      <w:pPr>
        <w:pStyle w:val="Titolo"/>
        <w:spacing w:before="0" w:beforeAutospacing="0" w:after="0" w:afterAutospacing="0"/>
        <w:jc w:val="center"/>
        <w:rPr>
          <w:rStyle w:val="Enfasicorsivo"/>
          <w:b/>
          <w:bCs/>
          <w:i w:val="0"/>
          <w:iCs w:val="0"/>
        </w:rPr>
      </w:pPr>
    </w:p>
    <w:bookmarkEnd w:id="0"/>
    <w:p w:rsidR="004B5101" w:rsidRPr="00763D8E" w:rsidRDefault="004B5101" w:rsidP="00FF6788">
      <w:pPr>
        <w:jc w:val="center"/>
        <w:rPr>
          <w:rFonts w:ascii="Times New Roman" w:hAnsi="Times New Roman"/>
          <w:sz w:val="28"/>
        </w:rPr>
      </w:pPr>
      <w:r w:rsidRPr="00763D8E">
        <w:rPr>
          <w:rFonts w:ascii="Times New Roman" w:hAnsi="Times New Roman"/>
          <w:sz w:val="28"/>
        </w:rPr>
        <w:t>Aula Magna</w:t>
      </w:r>
      <w:r>
        <w:rPr>
          <w:rFonts w:ascii="Times New Roman" w:hAnsi="Times New Roman"/>
          <w:sz w:val="28"/>
        </w:rPr>
        <w:t xml:space="preserve"> “Emilio Alessandrini e Guido Galli”</w:t>
      </w:r>
      <w:r w:rsidRPr="00763D8E">
        <w:rPr>
          <w:rFonts w:ascii="Times New Roman" w:hAnsi="Times New Roman"/>
          <w:sz w:val="28"/>
        </w:rPr>
        <w:t xml:space="preserve"> del Palazzo di Giustizia di Milano</w:t>
      </w:r>
    </w:p>
    <w:p w:rsidR="004B5101" w:rsidRDefault="004B5101" w:rsidP="00FF6788">
      <w:pPr>
        <w:jc w:val="center"/>
        <w:rPr>
          <w:rFonts w:ascii="Times New Roman" w:hAnsi="Times New Roman"/>
          <w:b/>
        </w:rPr>
      </w:pPr>
    </w:p>
    <w:p w:rsidR="004B5101" w:rsidRPr="003B7ECE" w:rsidRDefault="004B5101" w:rsidP="00FF6788">
      <w:pPr>
        <w:jc w:val="center"/>
        <w:rPr>
          <w:rFonts w:ascii="Times New Roman" w:hAnsi="Times New Roman"/>
          <w:b/>
          <w:sz w:val="28"/>
        </w:rPr>
      </w:pPr>
      <w:r w:rsidRPr="003B7ECE">
        <w:rPr>
          <w:rFonts w:ascii="Times New Roman" w:hAnsi="Times New Roman"/>
          <w:b/>
          <w:sz w:val="28"/>
        </w:rPr>
        <w:t xml:space="preserve">CORSO DI FORMAZIONE E AGGIORNAMENTO IN </w:t>
      </w:r>
    </w:p>
    <w:p w:rsidR="004B5101" w:rsidRPr="003B7ECE" w:rsidRDefault="004B5101" w:rsidP="00FF6788">
      <w:pPr>
        <w:jc w:val="center"/>
        <w:rPr>
          <w:rFonts w:ascii="Times New Roman" w:hAnsi="Times New Roman"/>
          <w:b/>
          <w:sz w:val="28"/>
        </w:rPr>
      </w:pPr>
      <w:r w:rsidRPr="003B7ECE">
        <w:rPr>
          <w:rFonts w:ascii="Times New Roman" w:hAnsi="Times New Roman"/>
          <w:b/>
          <w:sz w:val="28"/>
        </w:rPr>
        <w:t>DIRITTO COMPARATO E DIRITTO EUROPEO</w:t>
      </w:r>
    </w:p>
    <w:p w:rsidR="004B5101" w:rsidRDefault="004B5101" w:rsidP="00FF6788">
      <w:pPr>
        <w:jc w:val="center"/>
        <w:rPr>
          <w:rFonts w:ascii="Times New Roman" w:hAnsi="Times New Roman"/>
          <w:b/>
        </w:rPr>
      </w:pPr>
    </w:p>
    <w:p w:rsidR="004B5101" w:rsidRPr="00843423" w:rsidRDefault="004B5101" w:rsidP="0058526E">
      <w:pPr>
        <w:jc w:val="center"/>
        <w:rPr>
          <w:b/>
        </w:rPr>
      </w:pPr>
      <w:r>
        <w:rPr>
          <w:rFonts w:ascii="Times New Roman" w:hAnsi="Times New Roman"/>
          <w:b/>
        </w:rPr>
        <w:t xml:space="preserve">VIII </w:t>
      </w:r>
      <w:r w:rsidRPr="00843423">
        <w:rPr>
          <w:rFonts w:ascii="Times New Roman" w:hAnsi="Times New Roman"/>
          <w:b/>
        </w:rPr>
        <w:t>SESSI</w:t>
      </w:r>
      <w:r>
        <w:rPr>
          <w:rFonts w:ascii="Times New Roman" w:hAnsi="Times New Roman"/>
          <w:b/>
        </w:rPr>
        <w:t>ONE INTERDISCIPLINARE - 26 MAGGIO 2014</w:t>
      </w:r>
    </w:p>
    <w:p w:rsidR="004B5101" w:rsidRPr="00FF6788" w:rsidRDefault="004B5101">
      <w:pPr>
        <w:rPr>
          <w:b/>
        </w:rPr>
      </w:pPr>
    </w:p>
    <w:p w:rsidR="004B5101" w:rsidRPr="001D7CB5" w:rsidRDefault="004B5101" w:rsidP="008B396C">
      <w:pPr>
        <w:jc w:val="center"/>
        <w:rPr>
          <w:b/>
          <w:sz w:val="32"/>
          <w:szCs w:val="32"/>
        </w:rPr>
      </w:pPr>
      <w:r w:rsidRPr="001D7CB5">
        <w:rPr>
          <w:b/>
          <w:sz w:val="32"/>
          <w:szCs w:val="32"/>
        </w:rPr>
        <w:t>IL DANNO ALLA PERSONA TRA NORME E GIURISPRUDENZA INTERNE E SOVRANNAZIONALI</w:t>
      </w:r>
    </w:p>
    <w:p w:rsidR="004B5101" w:rsidRPr="001D7CB5" w:rsidRDefault="004B5101">
      <w:pPr>
        <w:rPr>
          <w:sz w:val="32"/>
          <w:szCs w:val="32"/>
        </w:rPr>
      </w:pPr>
    </w:p>
    <w:p w:rsidR="004B5101" w:rsidRDefault="004B5101"/>
    <w:p w:rsidR="004B5101" w:rsidRPr="008B396C" w:rsidRDefault="004B5101" w:rsidP="00376806">
      <w:pPr>
        <w:jc w:val="both"/>
        <w:rPr>
          <w:rFonts w:ascii="Times New Roman" w:hAnsi="Times New Roman"/>
        </w:rPr>
      </w:pPr>
      <w:r w:rsidRPr="00391859">
        <w:rPr>
          <w:rFonts w:ascii="Times New Roman" w:hAnsi="Times New Roman"/>
          <w:b/>
          <w:u w:val="single"/>
        </w:rPr>
        <w:t>Presiedono</w:t>
      </w:r>
      <w:r>
        <w:rPr>
          <w:rFonts w:ascii="Times New Roman" w:hAnsi="Times New Roman"/>
        </w:rPr>
        <w:t xml:space="preserve">: </w:t>
      </w:r>
      <w:r w:rsidRPr="002B3050">
        <w:rPr>
          <w:rFonts w:ascii="Times New Roman" w:hAnsi="Times New Roman"/>
          <w:b/>
        </w:rPr>
        <w:t>Francesca Fiecconi</w:t>
      </w:r>
      <w:r>
        <w:rPr>
          <w:rFonts w:ascii="Times New Roman" w:hAnsi="Times New Roman"/>
          <w:b/>
        </w:rPr>
        <w:t xml:space="preserve"> </w:t>
      </w:r>
      <w:r w:rsidRPr="006853D0">
        <w:rPr>
          <w:rFonts w:ascii="Times New Roman" w:hAnsi="Times New Roman"/>
        </w:rPr>
        <w:t xml:space="preserve">– </w:t>
      </w:r>
      <w:r w:rsidRPr="002B3050">
        <w:rPr>
          <w:rFonts w:ascii="Times New Roman" w:hAnsi="Times New Roman"/>
          <w:i/>
        </w:rPr>
        <w:t>Responsabil</w:t>
      </w:r>
      <w:r>
        <w:rPr>
          <w:rFonts w:ascii="Times New Roman" w:hAnsi="Times New Roman"/>
          <w:i/>
        </w:rPr>
        <w:t>e</w:t>
      </w:r>
      <w:r w:rsidRPr="002B3050">
        <w:rPr>
          <w:rFonts w:ascii="Times New Roman" w:hAnsi="Times New Roman"/>
          <w:i/>
        </w:rPr>
        <w:t xml:space="preserve"> della </w:t>
      </w:r>
      <w:r>
        <w:rPr>
          <w:rFonts w:ascii="Times New Roman" w:hAnsi="Times New Roman"/>
          <w:i/>
        </w:rPr>
        <w:t>F</w:t>
      </w:r>
      <w:r w:rsidRPr="002B3050">
        <w:rPr>
          <w:rFonts w:ascii="Times New Roman" w:hAnsi="Times New Roman"/>
          <w:i/>
        </w:rPr>
        <w:t xml:space="preserve">ormazione in </w:t>
      </w:r>
      <w:r>
        <w:rPr>
          <w:rFonts w:ascii="Times New Roman" w:hAnsi="Times New Roman"/>
          <w:i/>
        </w:rPr>
        <w:t>D</w:t>
      </w:r>
      <w:r w:rsidRPr="002B3050">
        <w:rPr>
          <w:rFonts w:ascii="Times New Roman" w:hAnsi="Times New Roman"/>
          <w:i/>
        </w:rPr>
        <w:t xml:space="preserve">iritto </w:t>
      </w:r>
      <w:r>
        <w:rPr>
          <w:rFonts w:ascii="Times New Roman" w:hAnsi="Times New Roman"/>
          <w:i/>
        </w:rPr>
        <w:t>E</w:t>
      </w:r>
      <w:r w:rsidRPr="002B3050">
        <w:rPr>
          <w:rFonts w:ascii="Times New Roman" w:hAnsi="Times New Roman"/>
          <w:i/>
        </w:rPr>
        <w:t xml:space="preserve">uropeo per il  </w:t>
      </w:r>
      <w:r>
        <w:rPr>
          <w:rFonts w:ascii="Times New Roman" w:hAnsi="Times New Roman"/>
          <w:i/>
        </w:rPr>
        <w:t>D</w:t>
      </w:r>
      <w:r w:rsidRPr="002B3050">
        <w:rPr>
          <w:rFonts w:ascii="Times New Roman" w:hAnsi="Times New Roman"/>
          <w:i/>
        </w:rPr>
        <w:t>istretto della Corte d’</w:t>
      </w:r>
      <w:r>
        <w:rPr>
          <w:rFonts w:ascii="Times New Roman" w:hAnsi="Times New Roman"/>
          <w:i/>
        </w:rPr>
        <w:t>A</w:t>
      </w:r>
      <w:r w:rsidRPr="002B3050">
        <w:rPr>
          <w:rFonts w:ascii="Times New Roman" w:hAnsi="Times New Roman"/>
          <w:i/>
        </w:rPr>
        <w:t>ppello di Milano</w:t>
      </w:r>
      <w:r>
        <w:rPr>
          <w:rFonts w:ascii="Times New Roman" w:hAnsi="Times New Roman"/>
        </w:rPr>
        <w:t xml:space="preserve">; </w:t>
      </w:r>
      <w:r w:rsidRPr="003F0926">
        <w:rPr>
          <w:b/>
        </w:rPr>
        <w:t>Diana Cerini</w:t>
      </w:r>
      <w:r>
        <w:t xml:space="preserve"> – </w:t>
      </w:r>
      <w:r w:rsidRPr="0059336E">
        <w:rPr>
          <w:i/>
        </w:rPr>
        <w:t>Professore di Diritto Privato Comparato - Università degli Studi di Milano Bicocca</w:t>
      </w:r>
    </w:p>
    <w:p w:rsidR="004B5101" w:rsidRDefault="004B5101"/>
    <w:p w:rsidR="004B5101" w:rsidRDefault="004B5101" w:rsidP="00B9394D">
      <w:pPr>
        <w:jc w:val="both"/>
      </w:pPr>
      <w:r>
        <w:t xml:space="preserve">14.30 – 14.45: </w:t>
      </w:r>
      <w:r w:rsidRPr="001D7CB5">
        <w:rPr>
          <w:b/>
          <w:bCs/>
        </w:rPr>
        <w:t>Introduzione: il Perimetro del Danno alla Persona nel Diritto Comparato</w:t>
      </w:r>
      <w:r>
        <w:t xml:space="preserve"> - </w:t>
      </w:r>
      <w:r w:rsidRPr="006F3135">
        <w:rPr>
          <w:b/>
        </w:rPr>
        <w:t xml:space="preserve">  Diana Cerini</w:t>
      </w:r>
      <w:r>
        <w:rPr>
          <w:b/>
        </w:rPr>
        <w:t>,</w:t>
      </w:r>
      <w:r w:rsidRPr="006F3135">
        <w:rPr>
          <w:b/>
        </w:rPr>
        <w:t xml:space="preserve"> </w:t>
      </w:r>
      <w:r w:rsidRPr="0059336E">
        <w:rPr>
          <w:i/>
        </w:rPr>
        <w:t>Avvocato e</w:t>
      </w:r>
      <w:r>
        <w:rPr>
          <w:i/>
        </w:rPr>
        <w:t xml:space="preserve"> </w:t>
      </w:r>
      <w:r w:rsidRPr="0059336E">
        <w:rPr>
          <w:i/>
        </w:rPr>
        <w:t>Professore di Diritto Privato Comparato</w:t>
      </w:r>
      <w:r>
        <w:rPr>
          <w:i/>
        </w:rPr>
        <w:t xml:space="preserve"> </w:t>
      </w:r>
      <w:r w:rsidRPr="0059336E">
        <w:rPr>
          <w:i/>
        </w:rPr>
        <w:t>- Università degli Studi di Milano</w:t>
      </w:r>
      <w:r>
        <w:rPr>
          <w:i/>
        </w:rPr>
        <w:t>-</w:t>
      </w:r>
      <w:r w:rsidRPr="0059336E">
        <w:rPr>
          <w:i/>
        </w:rPr>
        <w:t xml:space="preserve"> Bicocca</w:t>
      </w:r>
    </w:p>
    <w:p w:rsidR="004B5101" w:rsidRDefault="004B5101" w:rsidP="00717E31">
      <w:pPr>
        <w:jc w:val="both"/>
      </w:pPr>
    </w:p>
    <w:p w:rsidR="004B5101" w:rsidRDefault="004B5101" w:rsidP="00F82704">
      <w:pPr>
        <w:jc w:val="both"/>
      </w:pPr>
      <w:r w:rsidRPr="00FD29DA">
        <w:t>1</w:t>
      </w:r>
      <w:r>
        <w:t>4</w:t>
      </w:r>
      <w:r w:rsidRPr="00FD29DA">
        <w:t>.</w:t>
      </w:r>
      <w:r>
        <w:t>45</w:t>
      </w:r>
      <w:r w:rsidRPr="00FD29DA">
        <w:t>- 1</w:t>
      </w:r>
      <w:r>
        <w:t>5</w:t>
      </w:r>
      <w:r w:rsidRPr="00FD29DA">
        <w:t>.</w:t>
      </w:r>
      <w:r>
        <w:t>15</w:t>
      </w:r>
      <w:r w:rsidRPr="00FD29DA">
        <w:t xml:space="preserve">: </w:t>
      </w:r>
      <w:r w:rsidRPr="001D7CB5">
        <w:rPr>
          <w:b/>
          <w:bCs/>
        </w:rPr>
        <w:t xml:space="preserve">Il Danno alla Persona nella Giurisprudenza Nazionale: Problemi Risolti e Questioni Aperte </w:t>
      </w:r>
      <w:r w:rsidRPr="00FD29DA">
        <w:t xml:space="preserve">- </w:t>
      </w:r>
      <w:r w:rsidRPr="00206801">
        <w:rPr>
          <w:b/>
        </w:rPr>
        <w:t>Roberto Bichi</w:t>
      </w:r>
      <w:r>
        <w:rPr>
          <w:b/>
        </w:rPr>
        <w:t xml:space="preserve"> ,</w:t>
      </w:r>
      <w:r w:rsidRPr="00FD29DA">
        <w:t xml:space="preserve"> </w:t>
      </w:r>
      <w:r w:rsidRPr="004E21BF">
        <w:rPr>
          <w:i/>
        </w:rPr>
        <w:t xml:space="preserve">Presidente Sezione Prima </w:t>
      </w:r>
      <w:r>
        <w:rPr>
          <w:i/>
        </w:rPr>
        <w:t>C</w:t>
      </w:r>
      <w:r w:rsidRPr="004E21BF">
        <w:rPr>
          <w:i/>
        </w:rPr>
        <w:t>ivile Tribunale  di Milano</w:t>
      </w:r>
    </w:p>
    <w:p w:rsidR="004B5101" w:rsidRDefault="004B5101" w:rsidP="00717E31">
      <w:pPr>
        <w:jc w:val="both"/>
      </w:pPr>
    </w:p>
    <w:p w:rsidR="004B5101" w:rsidRPr="004E21BF" w:rsidRDefault="004B5101" w:rsidP="001D7CB5">
      <w:pPr>
        <w:jc w:val="both"/>
        <w:rPr>
          <w:i/>
        </w:rPr>
      </w:pPr>
      <w:r>
        <w:t xml:space="preserve">15.15-16.15 – </w:t>
      </w:r>
      <w:r w:rsidRPr="001D7CB5">
        <w:rPr>
          <w:b/>
          <w:bCs/>
        </w:rPr>
        <w:t>Le Limitazioni del Risarcimento del Danno alla Persona tra Corte di Giustizia e Corte Costituzionale</w:t>
      </w:r>
      <w:r>
        <w:t xml:space="preserve"> - </w:t>
      </w:r>
      <w:r w:rsidRPr="006F3135">
        <w:rPr>
          <w:b/>
        </w:rPr>
        <w:t>Giulio Ponzanelli</w:t>
      </w:r>
      <w:r>
        <w:rPr>
          <w:b/>
        </w:rPr>
        <w:t>,</w:t>
      </w:r>
      <w:r>
        <w:t xml:space="preserve"> </w:t>
      </w:r>
      <w:r w:rsidRPr="004E21BF">
        <w:rPr>
          <w:i/>
        </w:rPr>
        <w:t xml:space="preserve">Avvocato e Professore Ordinario Università Cattolica di Milano </w:t>
      </w:r>
    </w:p>
    <w:p w:rsidR="004B5101" w:rsidRDefault="004B5101" w:rsidP="00717E31">
      <w:pPr>
        <w:jc w:val="both"/>
      </w:pPr>
    </w:p>
    <w:p w:rsidR="004B5101" w:rsidRPr="0059336E" w:rsidRDefault="004B5101" w:rsidP="00B9394D">
      <w:pPr>
        <w:jc w:val="both"/>
        <w:rPr>
          <w:i/>
          <w:lang w:val="fr-FR"/>
        </w:rPr>
      </w:pPr>
      <w:r w:rsidRPr="0059336E">
        <w:rPr>
          <w:lang w:val="fr-FR"/>
        </w:rPr>
        <w:t>16.15- 16.45</w:t>
      </w:r>
      <w:r>
        <w:rPr>
          <w:lang w:val="fr-FR"/>
        </w:rPr>
        <w:t xml:space="preserve"> </w:t>
      </w:r>
      <w:r w:rsidRPr="0059336E">
        <w:rPr>
          <w:lang w:val="fr-FR"/>
        </w:rPr>
        <w:t xml:space="preserve">: </w:t>
      </w:r>
      <w:r w:rsidRPr="001D7CB5">
        <w:rPr>
          <w:b/>
          <w:bCs/>
          <w:lang w:val="fr-FR"/>
        </w:rPr>
        <w:t>Le Dommage à la Personne dans la Jurisprudence Française</w:t>
      </w:r>
      <w:r w:rsidRPr="0059336E">
        <w:rPr>
          <w:lang w:val="fr-FR"/>
        </w:rPr>
        <w:t xml:space="preserve"> – </w:t>
      </w:r>
      <w:r w:rsidRPr="0059336E">
        <w:rPr>
          <w:b/>
          <w:lang w:val="fr-FR"/>
        </w:rPr>
        <w:t>Fr</w:t>
      </w:r>
      <w:r>
        <w:rPr>
          <w:b/>
          <w:lang w:val="fr-FR"/>
        </w:rPr>
        <w:t>anck</w:t>
      </w:r>
      <w:r w:rsidRPr="0059336E">
        <w:rPr>
          <w:b/>
          <w:lang w:val="fr-FR"/>
        </w:rPr>
        <w:t xml:space="preserve"> </w:t>
      </w:r>
      <w:r>
        <w:rPr>
          <w:b/>
          <w:lang w:val="fr-FR"/>
        </w:rPr>
        <w:t xml:space="preserve">              </w:t>
      </w:r>
      <w:r w:rsidRPr="0059336E">
        <w:rPr>
          <w:b/>
          <w:lang w:val="fr-FR"/>
        </w:rPr>
        <w:t>Le Ca</w:t>
      </w:r>
      <w:r>
        <w:rPr>
          <w:b/>
          <w:lang w:val="fr-FR"/>
        </w:rPr>
        <w:t>l</w:t>
      </w:r>
      <w:r w:rsidRPr="0059336E">
        <w:rPr>
          <w:b/>
          <w:lang w:val="fr-FR"/>
        </w:rPr>
        <w:t>vez</w:t>
      </w:r>
      <w:r>
        <w:rPr>
          <w:b/>
          <w:lang w:val="fr-FR"/>
        </w:rPr>
        <w:t xml:space="preserve"> </w:t>
      </w:r>
      <w:r w:rsidRPr="0059336E">
        <w:rPr>
          <w:lang w:val="fr-FR"/>
        </w:rPr>
        <w:t xml:space="preserve">, </w:t>
      </w:r>
      <w:r>
        <w:rPr>
          <w:lang w:val="fr-FR"/>
        </w:rPr>
        <w:t xml:space="preserve"> </w:t>
      </w:r>
      <w:r w:rsidRPr="0059336E">
        <w:rPr>
          <w:i/>
          <w:lang w:val="fr-FR"/>
        </w:rPr>
        <w:t xml:space="preserve">Avocat à Paris </w:t>
      </w:r>
    </w:p>
    <w:p w:rsidR="004B5101" w:rsidRPr="0059336E" w:rsidRDefault="004B5101" w:rsidP="00717E31">
      <w:pPr>
        <w:jc w:val="both"/>
        <w:rPr>
          <w:i/>
          <w:lang w:val="fr-FR"/>
        </w:rPr>
      </w:pPr>
    </w:p>
    <w:p w:rsidR="004B5101" w:rsidRDefault="004B5101" w:rsidP="001D7CB5">
      <w:pPr>
        <w:jc w:val="both"/>
      </w:pPr>
      <w:r>
        <w:t xml:space="preserve">16.45- 17.15: </w:t>
      </w:r>
      <w:r w:rsidRPr="001D7CB5">
        <w:rPr>
          <w:b/>
          <w:bCs/>
        </w:rPr>
        <w:t>Le Molte Facce della Privacy Europea : dal Caso Costa - Pavan C</w:t>
      </w:r>
      <w:r>
        <w:rPr>
          <w:b/>
          <w:bCs/>
        </w:rPr>
        <w:t xml:space="preserve">orte </w:t>
      </w:r>
      <w:r w:rsidRPr="001D7CB5">
        <w:rPr>
          <w:b/>
          <w:bCs/>
        </w:rPr>
        <w:t xml:space="preserve">EDU a Corte Cost. n. 278/2013 </w:t>
      </w:r>
      <w:r>
        <w:t xml:space="preserve">-  </w:t>
      </w:r>
      <w:r w:rsidRPr="00850900">
        <w:rPr>
          <w:b/>
        </w:rPr>
        <w:t>Amedeo Santosuosso</w:t>
      </w:r>
      <w:r>
        <w:rPr>
          <w:b/>
        </w:rPr>
        <w:t xml:space="preserve">, </w:t>
      </w:r>
      <w:r>
        <w:t xml:space="preserve"> </w:t>
      </w:r>
      <w:r w:rsidRPr="004E21BF">
        <w:rPr>
          <w:i/>
        </w:rPr>
        <w:t>Consigliere Corte d’</w:t>
      </w:r>
      <w:r>
        <w:rPr>
          <w:i/>
        </w:rPr>
        <w:t>a</w:t>
      </w:r>
      <w:r w:rsidRPr="004E21BF">
        <w:rPr>
          <w:i/>
        </w:rPr>
        <w:t>ppello di Milano</w:t>
      </w:r>
    </w:p>
    <w:p w:rsidR="004B5101" w:rsidRDefault="004B5101" w:rsidP="00717E31">
      <w:pPr>
        <w:jc w:val="both"/>
      </w:pPr>
    </w:p>
    <w:p w:rsidR="004B5101" w:rsidRDefault="004B5101" w:rsidP="001D7CB5">
      <w:pPr>
        <w:jc w:val="both"/>
      </w:pPr>
      <w:r>
        <w:t xml:space="preserve">17.15- 17.45: </w:t>
      </w:r>
      <w:r w:rsidRPr="001D7CB5">
        <w:rPr>
          <w:b/>
          <w:bCs/>
        </w:rPr>
        <w:t>Il Danno alla Persona e l’ Intreccio con il Diritto Assicurativo</w:t>
      </w:r>
      <w:r>
        <w:t>-</w:t>
      </w:r>
      <w:r w:rsidRPr="00850900">
        <w:rPr>
          <w:b/>
        </w:rPr>
        <w:t xml:space="preserve"> Fabio </w:t>
      </w:r>
      <w:r>
        <w:rPr>
          <w:b/>
        </w:rPr>
        <w:t>Manieri,</w:t>
      </w:r>
      <w:r>
        <w:t xml:space="preserve"> </w:t>
      </w:r>
      <w:r w:rsidRPr="004E21BF">
        <w:rPr>
          <w:i/>
        </w:rPr>
        <w:t xml:space="preserve">Direttore Ufficio Legale ANIA- </w:t>
      </w:r>
      <w:r>
        <w:rPr>
          <w:i/>
        </w:rPr>
        <w:t xml:space="preserve">Avvocato e </w:t>
      </w:r>
      <w:r w:rsidRPr="004E21BF">
        <w:rPr>
          <w:i/>
        </w:rPr>
        <w:t>Docente di Diritto Assicurativo Università di Trieste</w:t>
      </w:r>
    </w:p>
    <w:p w:rsidR="004B5101" w:rsidRDefault="004B5101" w:rsidP="00717E31">
      <w:pPr>
        <w:jc w:val="both"/>
      </w:pPr>
    </w:p>
    <w:p w:rsidR="004B5101" w:rsidRDefault="004B5101" w:rsidP="00F82704">
      <w:pPr>
        <w:jc w:val="both"/>
      </w:pPr>
      <w:r>
        <w:t xml:space="preserve">18.00- 18.30 : </w:t>
      </w:r>
      <w:r w:rsidRPr="001D7CB5">
        <w:rPr>
          <w:b/>
          <w:bCs/>
        </w:rPr>
        <w:t>Dibattito</w:t>
      </w:r>
      <w:r>
        <w:t xml:space="preserve"> </w:t>
      </w:r>
    </w:p>
    <w:p w:rsidR="004B5101" w:rsidRDefault="004B5101" w:rsidP="00717E31">
      <w:pPr>
        <w:jc w:val="both"/>
      </w:pPr>
    </w:p>
    <w:p w:rsidR="004B5101" w:rsidRDefault="004B5101" w:rsidP="00B92D80">
      <w:pPr>
        <w:jc w:val="center"/>
        <w:rPr>
          <w:b/>
          <w:i/>
        </w:rPr>
      </w:pPr>
      <w:r>
        <w:rPr>
          <w:i/>
        </w:rPr>
        <w:t xml:space="preserve">Report a cura di </w:t>
      </w:r>
      <w:r w:rsidRPr="0059336E">
        <w:rPr>
          <w:b/>
          <w:i/>
        </w:rPr>
        <w:t>Annateresa Memola</w:t>
      </w:r>
    </w:p>
    <w:p w:rsidR="00471156" w:rsidRPr="0059336E" w:rsidRDefault="00471156" w:rsidP="00B92D80">
      <w:pPr>
        <w:jc w:val="center"/>
        <w:rPr>
          <w:b/>
          <w:i/>
        </w:rPr>
      </w:pPr>
    </w:p>
    <w:p w:rsidR="004B5101" w:rsidRDefault="004B5101" w:rsidP="00B92D80">
      <w:pPr>
        <w:jc w:val="center"/>
      </w:pPr>
    </w:p>
    <w:p w:rsidR="004B5101" w:rsidRPr="006853D0" w:rsidRDefault="004B5101" w:rsidP="00B92D80">
      <w:pPr>
        <w:jc w:val="both"/>
        <w:rPr>
          <w:rFonts w:ascii="Times New Roman" w:hAnsi="Times New Roman"/>
          <w:b/>
        </w:rPr>
      </w:pPr>
      <w:r w:rsidRPr="006853D0">
        <w:rPr>
          <w:rFonts w:ascii="Times New Roman" w:hAnsi="Times New Roman"/>
          <w:b/>
        </w:rPr>
        <w:lastRenderedPageBreak/>
        <w:t>Destinatari del corso</w:t>
      </w:r>
    </w:p>
    <w:p w:rsidR="004B5101" w:rsidRPr="006853D0" w:rsidRDefault="004B5101" w:rsidP="00B92D80">
      <w:pPr>
        <w:jc w:val="both"/>
        <w:rPr>
          <w:rFonts w:ascii="Times New Roman" w:hAnsi="Times New Roman"/>
        </w:rPr>
      </w:pPr>
    </w:p>
    <w:p w:rsidR="004B5101" w:rsidRPr="00391859" w:rsidRDefault="004B5101" w:rsidP="00BE2E93">
      <w:pPr>
        <w:jc w:val="both"/>
        <w:rPr>
          <w:rFonts w:ascii="Times New Roman" w:hAnsi="Times New Roman"/>
        </w:rPr>
      </w:pPr>
      <w:r w:rsidRPr="00391859">
        <w:rPr>
          <w:rFonts w:ascii="Times New Roman" w:hAnsi="Times New Roman"/>
        </w:rPr>
        <w:t>Magistrati ordinari e magistrati in tirocinio ordinario, giudici onorari</w:t>
      </w:r>
      <w:r>
        <w:rPr>
          <w:rFonts w:ascii="Times New Roman" w:hAnsi="Times New Roman"/>
        </w:rPr>
        <w:t>,</w:t>
      </w:r>
      <w:r w:rsidRPr="00391859">
        <w:rPr>
          <w:rFonts w:ascii="Times New Roman" w:hAnsi="Times New Roman"/>
        </w:rPr>
        <w:t xml:space="preserve"> giudici di pace</w:t>
      </w:r>
      <w:r>
        <w:rPr>
          <w:rFonts w:ascii="Times New Roman" w:hAnsi="Times New Roman"/>
        </w:rPr>
        <w:t xml:space="preserve"> e </w:t>
      </w:r>
      <w:r w:rsidRPr="00376806">
        <w:rPr>
          <w:rFonts w:ascii="Times New Roman" w:hAnsi="Times New Roman"/>
          <w:i/>
          <w:iCs/>
        </w:rPr>
        <w:t>stagisti</w:t>
      </w:r>
      <w:r w:rsidRPr="00391859">
        <w:rPr>
          <w:rFonts w:ascii="Times New Roman" w:hAnsi="Times New Roman"/>
        </w:rPr>
        <w:t>.</w:t>
      </w:r>
    </w:p>
    <w:p w:rsidR="004B5101" w:rsidRPr="00391859" w:rsidRDefault="004B5101" w:rsidP="00B92D80">
      <w:pPr>
        <w:jc w:val="both"/>
        <w:rPr>
          <w:rFonts w:ascii="Times New Roman" w:hAnsi="Times New Roman"/>
        </w:rPr>
      </w:pPr>
      <w:r w:rsidRPr="00391859">
        <w:rPr>
          <w:rFonts w:ascii="Times New Roman" w:hAnsi="Times New Roman"/>
        </w:rPr>
        <w:t>L’incontro è aperto altresì alla partecipazione degli avvocati (fino al numero massimo di 150), nonché agli studenti delle scuole di specializzazione forense (in numero massimo di 30).</w:t>
      </w:r>
    </w:p>
    <w:p w:rsidR="004B5101" w:rsidRPr="00391859" w:rsidRDefault="004B5101" w:rsidP="00B92D80">
      <w:pPr>
        <w:jc w:val="both"/>
        <w:rPr>
          <w:rFonts w:ascii="Times New Roman" w:hAnsi="Times New Roman"/>
        </w:rPr>
      </w:pPr>
    </w:p>
    <w:p w:rsidR="004B5101" w:rsidRPr="00391859" w:rsidRDefault="004B5101" w:rsidP="00B92D80">
      <w:pPr>
        <w:ind w:right="-82"/>
        <w:jc w:val="both"/>
        <w:rPr>
          <w:rFonts w:ascii="Times New Roman" w:hAnsi="Times New Roman"/>
          <w:color w:val="000000"/>
        </w:rPr>
      </w:pPr>
      <w:r w:rsidRPr="00391859">
        <w:rPr>
          <w:rFonts w:ascii="Times New Roman" w:hAnsi="Times New Roman"/>
          <w:color w:val="000000"/>
          <w:u w:val="single"/>
        </w:rPr>
        <w:t xml:space="preserve">Per ragioni organizzative i magistrati che intendono partecipare all’incontro sono pregati di iscriversi on line attraverso il sito www.corteappello.milano.it, nell'home page in basso a destra alla voce Formazione Decentrata Magistrati Incontri di studio "Iscrizioni e Materiali". Ai partecipanti verrà rilasciato un attestato di frequenza. </w:t>
      </w:r>
    </w:p>
    <w:p w:rsidR="004B5101" w:rsidRPr="00391859" w:rsidRDefault="004B5101" w:rsidP="00B92D80">
      <w:pPr>
        <w:jc w:val="both"/>
        <w:rPr>
          <w:rFonts w:ascii="Times New Roman" w:hAnsi="Times New Roman"/>
          <w:color w:val="000000"/>
        </w:rPr>
      </w:pPr>
    </w:p>
    <w:p w:rsidR="004B5101" w:rsidRPr="00391859" w:rsidRDefault="004B5101" w:rsidP="00B92D80">
      <w:pPr>
        <w:jc w:val="both"/>
        <w:rPr>
          <w:rFonts w:ascii="Times New Roman" w:hAnsi="Times New Roman"/>
          <w:color w:val="000000"/>
        </w:rPr>
      </w:pPr>
      <w:r w:rsidRPr="00391859">
        <w:rPr>
          <w:rFonts w:ascii="Times New Roman" w:hAnsi="Times New Roman"/>
          <w:color w:val="000000"/>
        </w:rPr>
        <w:t xml:space="preserve">L'incontro rientra tra le iniziative che permettono il conferimento dei c.d. crediti formativi da parte del Consiglio dell’Ordine degli Avvocati ai sensi del Regolamento del Consiglio Nazionale Forense concernente la Formazione Professionale Continua. </w:t>
      </w:r>
    </w:p>
    <w:p w:rsidR="004B5101" w:rsidRPr="00391859" w:rsidRDefault="004B5101" w:rsidP="00B92D80">
      <w:pPr>
        <w:jc w:val="both"/>
        <w:rPr>
          <w:rFonts w:eastAsia="Times New Roman"/>
          <w:color w:val="000000"/>
          <w:szCs w:val="28"/>
        </w:rPr>
      </w:pPr>
    </w:p>
    <w:p w:rsidR="004B5101" w:rsidRPr="003B7ECE" w:rsidRDefault="004B5101" w:rsidP="00B92D80">
      <w:pPr>
        <w:jc w:val="both"/>
        <w:rPr>
          <w:rFonts w:ascii="Times New Roman" w:hAnsi="Times New Roman"/>
          <w:color w:val="000000"/>
        </w:rPr>
      </w:pPr>
      <w:r w:rsidRPr="00391859">
        <w:rPr>
          <w:rFonts w:ascii="Times New Roman" w:hAnsi="Times New Roman"/>
          <w:b/>
          <w:bCs/>
          <w:color w:val="000000"/>
        </w:rPr>
        <w:t>Sono a tale fine riservati al Consiglio dell’Ordine degli Avvocati di Milano 150 posti. Le iscrizioni dovranno avvenire attraverso il sistema RICONOSCO.</w:t>
      </w:r>
    </w:p>
    <w:p w:rsidR="004B5101" w:rsidRPr="006853D0" w:rsidRDefault="004B5101" w:rsidP="00B92D80">
      <w:pPr>
        <w:jc w:val="both"/>
        <w:rPr>
          <w:rFonts w:ascii="Times New Roman" w:hAnsi="Times New Roman"/>
        </w:rPr>
      </w:pPr>
    </w:p>
    <w:p w:rsidR="004B5101" w:rsidRDefault="004B5101" w:rsidP="00394570">
      <w:pPr>
        <w:jc w:val="both"/>
        <w:rPr>
          <w:rFonts w:ascii="Times New Roman" w:hAnsi="Times New Roman"/>
          <w:b/>
        </w:rPr>
      </w:pPr>
      <w:r w:rsidRPr="006853D0">
        <w:rPr>
          <w:rFonts w:ascii="Times New Roman" w:hAnsi="Times New Roman"/>
          <w:b/>
        </w:rPr>
        <w:t>Pr</w:t>
      </w:r>
      <w:r>
        <w:rPr>
          <w:rFonts w:ascii="Times New Roman" w:hAnsi="Times New Roman"/>
          <w:b/>
        </w:rPr>
        <w:t>esentazione dell’incontro</w:t>
      </w:r>
    </w:p>
    <w:p w:rsidR="004B5101" w:rsidRDefault="004B5101" w:rsidP="00394570">
      <w:pPr>
        <w:jc w:val="both"/>
        <w:rPr>
          <w:rFonts w:ascii="Times New Roman" w:hAnsi="Times New Roman"/>
        </w:rPr>
      </w:pPr>
      <w:r w:rsidRPr="006853D0">
        <w:rPr>
          <w:rFonts w:ascii="Times New Roman" w:hAnsi="Times New Roman"/>
          <w:b/>
        </w:rPr>
        <w:t xml:space="preserve"> </w:t>
      </w:r>
    </w:p>
    <w:p w:rsidR="004B5101" w:rsidRDefault="004B5101" w:rsidP="00BE2E93">
      <w:pPr>
        <w:jc w:val="both"/>
        <w:rPr>
          <w:rFonts w:ascii="Times New Roman" w:hAnsi="Times New Roman"/>
        </w:rPr>
      </w:pPr>
      <w:r w:rsidRPr="00C04EF2">
        <w:rPr>
          <w:rFonts w:ascii="Times New Roman" w:hAnsi="Times New Roman"/>
        </w:rPr>
        <w:t>Le regole attuali del risarcimento del danno alla persona che si riscontra</w:t>
      </w:r>
      <w:r>
        <w:rPr>
          <w:rFonts w:ascii="Times New Roman" w:hAnsi="Times New Roman"/>
        </w:rPr>
        <w:t>no</w:t>
      </w:r>
      <w:r w:rsidRPr="00C04EF2">
        <w:rPr>
          <w:rFonts w:ascii="Times New Roman" w:hAnsi="Times New Roman"/>
        </w:rPr>
        <w:t xml:space="preserve"> nei diversi Stati </w:t>
      </w:r>
      <w:r>
        <w:rPr>
          <w:rFonts w:ascii="Times New Roman" w:hAnsi="Times New Roman"/>
        </w:rPr>
        <w:t>m</w:t>
      </w:r>
      <w:r w:rsidRPr="00C04EF2">
        <w:rPr>
          <w:rFonts w:ascii="Times New Roman" w:hAnsi="Times New Roman"/>
        </w:rPr>
        <w:t>embri risultano ancora di gran lunga diverse tra</w:t>
      </w:r>
      <w:r>
        <w:rPr>
          <w:rFonts w:ascii="Times New Roman" w:hAnsi="Times New Roman"/>
        </w:rPr>
        <w:t xml:space="preserve"> loro</w:t>
      </w:r>
      <w:r w:rsidRPr="00C04EF2">
        <w:rPr>
          <w:rFonts w:ascii="Times New Roman" w:hAnsi="Times New Roman"/>
        </w:rPr>
        <w:t xml:space="preserve">. Le ragioni delle divergenze sono piuttosto semplici: non solo </w:t>
      </w:r>
      <w:r>
        <w:rPr>
          <w:rFonts w:ascii="Times New Roman" w:hAnsi="Times New Roman"/>
        </w:rPr>
        <w:t xml:space="preserve">il sostrato </w:t>
      </w:r>
      <w:r w:rsidRPr="00C04EF2">
        <w:rPr>
          <w:rFonts w:ascii="Times New Roman" w:hAnsi="Times New Roman"/>
        </w:rPr>
        <w:t>social</w:t>
      </w:r>
      <w:r>
        <w:rPr>
          <w:rFonts w:ascii="Times New Roman" w:hAnsi="Times New Roman"/>
        </w:rPr>
        <w:t>e</w:t>
      </w:r>
      <w:r w:rsidRPr="00C04EF2">
        <w:rPr>
          <w:rFonts w:ascii="Times New Roman" w:hAnsi="Times New Roman"/>
        </w:rPr>
        <w:t xml:space="preserve"> ed economic</w:t>
      </w:r>
      <w:r>
        <w:rPr>
          <w:rFonts w:ascii="Times New Roman" w:hAnsi="Times New Roman"/>
        </w:rPr>
        <w:t>o</w:t>
      </w:r>
      <w:r w:rsidRPr="00C04EF2">
        <w:rPr>
          <w:rFonts w:ascii="Times New Roman" w:hAnsi="Times New Roman"/>
        </w:rPr>
        <w:t xml:space="preserve"> different</w:t>
      </w:r>
      <w:r>
        <w:rPr>
          <w:rFonts w:ascii="Times New Roman" w:hAnsi="Times New Roman"/>
        </w:rPr>
        <w:t>e tra i vari paesi</w:t>
      </w:r>
      <w:r w:rsidRPr="00C04EF2">
        <w:rPr>
          <w:rFonts w:ascii="Times New Roman" w:hAnsi="Times New Roman"/>
        </w:rPr>
        <w:t>, ma altresì percorsi storici e giuridici ben difficilmente assimilabili tra loro.</w:t>
      </w:r>
      <w:r>
        <w:rPr>
          <w:rFonts w:ascii="Times New Roman" w:hAnsi="Times New Roman"/>
        </w:rPr>
        <w:t xml:space="preserve"> Questo</w:t>
      </w:r>
      <w:r w:rsidRPr="00C04EF2">
        <w:rPr>
          <w:rFonts w:ascii="Times New Roman" w:hAnsi="Times New Roman"/>
        </w:rPr>
        <w:t xml:space="preserve"> non significa che non vi siano già stati fenomeni di convergenza. Invero, forse per pura casualità, forse per merito della Risoluzione del Comitato dei Ministri del Consiglio d’Europa n. 7-75 sul danno alla persona, forse per effetto di una circolazione dei modelli risarcitori attraverso lo sviluppo di una cultura giuridica sempre più “europeizzata”</w:t>
      </w:r>
      <w:r>
        <w:rPr>
          <w:rFonts w:ascii="Times New Roman" w:hAnsi="Times New Roman"/>
        </w:rPr>
        <w:t xml:space="preserve"> e incentrata sul rispetto dei diritti fondamentali</w:t>
      </w:r>
      <w:r w:rsidRPr="00C04EF2">
        <w:rPr>
          <w:rFonts w:ascii="Times New Roman" w:hAnsi="Times New Roman"/>
        </w:rPr>
        <w:t>, si è sicuramente venuta ad affermare una serie di principi generali sostanzialmente sovrapponibili tra loro</w:t>
      </w:r>
      <w:r>
        <w:rPr>
          <w:rFonts w:ascii="Times New Roman" w:hAnsi="Times New Roman"/>
        </w:rPr>
        <w:t xml:space="preserve">, </w:t>
      </w:r>
      <w:r w:rsidRPr="00C04EF2">
        <w:rPr>
          <w:rFonts w:ascii="Times New Roman" w:hAnsi="Times New Roman"/>
        </w:rPr>
        <w:t xml:space="preserve">soprattutto in relazione alle vittime primarie. </w:t>
      </w:r>
    </w:p>
    <w:p w:rsidR="004B5101" w:rsidRPr="002D09EE" w:rsidRDefault="004B5101" w:rsidP="00376806">
      <w:pPr>
        <w:jc w:val="both"/>
        <w:rPr>
          <w:rFonts w:ascii="Times New Roman" w:hAnsi="Times New Roman"/>
        </w:rPr>
      </w:pPr>
      <w:r w:rsidRPr="00C04EF2">
        <w:rPr>
          <w:rFonts w:ascii="Times New Roman" w:hAnsi="Times New Roman"/>
        </w:rPr>
        <w:t>E’ però opportuno tenere presente che si tratta di principi che trovano applicazione in modo assai variegato all’interno di ogni Stato membro</w:t>
      </w:r>
      <w:r w:rsidRPr="002D09EE">
        <w:rPr>
          <w:rFonts w:ascii="Times New Roman" w:hAnsi="Times New Roman"/>
        </w:rPr>
        <w:t>, anche per effetto di giurisprudenze nazionali sovente creative che si inseriscono, arricchendole, nelle tradizionali voci risarcitorie del danno alla persona, quale risposta ad esigenze poste dalla società stessa di dare una funzione sanzionatoria, oltre che prettamente risarcitoria, al risarcimento in sede gius-civilistica</w:t>
      </w:r>
      <w:r>
        <w:rPr>
          <w:rFonts w:ascii="Times New Roman" w:hAnsi="Times New Roman"/>
        </w:rPr>
        <w:t xml:space="preserve"> delle lesioni personali</w:t>
      </w:r>
      <w:r w:rsidRPr="002D09EE">
        <w:rPr>
          <w:rFonts w:ascii="Times New Roman" w:hAnsi="Times New Roman"/>
        </w:rPr>
        <w:t xml:space="preserve">. </w:t>
      </w:r>
    </w:p>
    <w:p w:rsidR="004B5101" w:rsidRPr="002D09EE" w:rsidRDefault="004B5101" w:rsidP="00376806">
      <w:pPr>
        <w:jc w:val="both"/>
        <w:rPr>
          <w:rFonts w:ascii="Times New Roman" w:hAnsi="Times New Roman"/>
        </w:rPr>
      </w:pPr>
      <w:r w:rsidRPr="002D09EE">
        <w:rPr>
          <w:rFonts w:ascii="Times New Roman" w:hAnsi="Times New Roman"/>
        </w:rPr>
        <w:t xml:space="preserve">E’ sufficiente richiamare le modalità di quantificazione dei danni non patrimoniali, oppure i diversi approcci che si </w:t>
      </w:r>
      <w:r>
        <w:rPr>
          <w:rFonts w:ascii="Times New Roman" w:hAnsi="Times New Roman"/>
        </w:rPr>
        <w:t xml:space="preserve">riscontrano </w:t>
      </w:r>
      <w:r w:rsidRPr="002D09EE">
        <w:rPr>
          <w:rFonts w:ascii="Times New Roman" w:hAnsi="Times New Roman"/>
        </w:rPr>
        <w:t xml:space="preserve">nella valutazione medica delle lesioni alla persona, laddove sistemi in cui il medico legale indica  percentuali di invalidità </w:t>
      </w:r>
      <w:r>
        <w:rPr>
          <w:rFonts w:ascii="Times New Roman" w:hAnsi="Times New Roman"/>
        </w:rPr>
        <w:t xml:space="preserve">si contrappongono </w:t>
      </w:r>
      <w:r w:rsidRPr="002D09EE">
        <w:rPr>
          <w:rFonts w:ascii="Times New Roman" w:hAnsi="Times New Roman"/>
        </w:rPr>
        <w:t>a sistemi in cui l’esperto medico non fornisce questo tipo di contributo.</w:t>
      </w:r>
    </w:p>
    <w:p w:rsidR="004B5101" w:rsidRPr="002D09EE" w:rsidRDefault="004B5101" w:rsidP="00BE2E93">
      <w:pPr>
        <w:jc w:val="both"/>
        <w:rPr>
          <w:rFonts w:ascii="Times New Roman" w:hAnsi="Times New Roman"/>
        </w:rPr>
      </w:pPr>
      <w:r w:rsidRPr="002D09EE">
        <w:rPr>
          <w:rFonts w:ascii="Times New Roman" w:hAnsi="Times New Roman"/>
        </w:rPr>
        <w:t xml:space="preserve">Occorre, altresì, osservare che sempre più spesso i modelli risarcitori per il danno alla persona risultano fortemente ancoràti alle dinamiche economiche e alle esigenze di prevedibilità dei soggetti che, in definitiva, sopportano il carico risarcitorio del danno alle persona, quali </w:t>
      </w:r>
      <w:r>
        <w:rPr>
          <w:rFonts w:ascii="Times New Roman" w:hAnsi="Times New Roman"/>
        </w:rPr>
        <w:t>gli</w:t>
      </w:r>
      <w:r w:rsidRPr="002D09EE">
        <w:rPr>
          <w:rFonts w:ascii="Times New Roman" w:hAnsi="Times New Roman"/>
        </w:rPr>
        <w:t xml:space="preserve"> assicura</w:t>
      </w:r>
      <w:r>
        <w:rPr>
          <w:rFonts w:ascii="Times New Roman" w:hAnsi="Times New Roman"/>
        </w:rPr>
        <w:t>tori</w:t>
      </w:r>
      <w:r w:rsidRPr="002D09EE">
        <w:rPr>
          <w:rFonts w:ascii="Times New Roman" w:hAnsi="Times New Roman"/>
        </w:rPr>
        <w:t xml:space="preserve">. </w:t>
      </w:r>
    </w:p>
    <w:p w:rsidR="004B5101" w:rsidRDefault="004B5101" w:rsidP="001D7CB5">
      <w:pPr>
        <w:jc w:val="both"/>
        <w:rPr>
          <w:rFonts w:ascii="Times New Roman" w:hAnsi="Times New Roman"/>
        </w:rPr>
      </w:pPr>
      <w:r>
        <w:rPr>
          <w:rFonts w:ascii="Times New Roman" w:hAnsi="Times New Roman"/>
        </w:rPr>
        <w:t>E’ dunque irrealistico</w:t>
      </w:r>
      <w:r w:rsidRPr="002D09EE">
        <w:rPr>
          <w:rFonts w:ascii="Times New Roman" w:hAnsi="Times New Roman"/>
        </w:rPr>
        <w:t xml:space="preserve"> ipotizzare</w:t>
      </w:r>
      <w:r>
        <w:rPr>
          <w:rFonts w:ascii="Times New Roman" w:hAnsi="Times New Roman"/>
        </w:rPr>
        <w:t>,</w:t>
      </w:r>
      <w:r w:rsidRPr="002D09EE">
        <w:rPr>
          <w:rFonts w:ascii="Times New Roman" w:hAnsi="Times New Roman"/>
        </w:rPr>
        <w:t xml:space="preserve"> a livello europeo</w:t>
      </w:r>
      <w:r>
        <w:rPr>
          <w:rFonts w:ascii="Times New Roman" w:hAnsi="Times New Roman"/>
        </w:rPr>
        <w:t>,</w:t>
      </w:r>
      <w:r w:rsidRPr="002D09EE">
        <w:rPr>
          <w:rFonts w:ascii="Times New Roman" w:hAnsi="Times New Roman"/>
        </w:rPr>
        <w:t xml:space="preserve"> un</w:t>
      </w:r>
      <w:r>
        <w:rPr>
          <w:rFonts w:ascii="Times New Roman" w:hAnsi="Times New Roman"/>
        </w:rPr>
        <w:t xml:space="preserve">a prossima </w:t>
      </w:r>
      <w:r w:rsidRPr="002D09EE">
        <w:rPr>
          <w:rFonts w:ascii="Times New Roman" w:hAnsi="Times New Roman"/>
        </w:rPr>
        <w:t xml:space="preserve">unificazione o armonizzazione, in via  </w:t>
      </w:r>
      <w:r>
        <w:rPr>
          <w:rFonts w:ascii="Times New Roman" w:hAnsi="Times New Roman"/>
        </w:rPr>
        <w:t>normativa e vincolante</w:t>
      </w:r>
      <w:r w:rsidRPr="002D09EE">
        <w:rPr>
          <w:rFonts w:ascii="Times New Roman" w:hAnsi="Times New Roman"/>
        </w:rPr>
        <w:t xml:space="preserve">, delle norme sostanziali sul danno alla persona, </w:t>
      </w:r>
      <w:r>
        <w:rPr>
          <w:rFonts w:ascii="Times New Roman" w:hAnsi="Times New Roman"/>
        </w:rPr>
        <w:t xml:space="preserve">dovendosi tener </w:t>
      </w:r>
      <w:r w:rsidRPr="002D09EE">
        <w:rPr>
          <w:rFonts w:ascii="Times New Roman" w:hAnsi="Times New Roman"/>
        </w:rPr>
        <w:t xml:space="preserve">conto </w:t>
      </w:r>
      <w:r>
        <w:rPr>
          <w:rFonts w:ascii="Times New Roman" w:hAnsi="Times New Roman"/>
        </w:rPr>
        <w:t>di una realtà in cui ancora non</w:t>
      </w:r>
      <w:r w:rsidRPr="002D09EE">
        <w:rPr>
          <w:rFonts w:ascii="Times New Roman" w:hAnsi="Times New Roman"/>
        </w:rPr>
        <w:t xml:space="preserve"> vi è alcun modello risarcitorio che abbia tanto prestigio da potersi imporre sugli altri. In quest’</w:t>
      </w:r>
      <w:r>
        <w:rPr>
          <w:rFonts w:ascii="Times New Roman" w:hAnsi="Times New Roman"/>
        </w:rPr>
        <w:t xml:space="preserve"> </w:t>
      </w:r>
      <w:r w:rsidRPr="002D09EE">
        <w:rPr>
          <w:rFonts w:ascii="Times New Roman" w:hAnsi="Times New Roman"/>
        </w:rPr>
        <w:t>ottica, anche i progetti di armonizzazione del danno alla persona (</w:t>
      </w:r>
      <w:r w:rsidRPr="002D09EE">
        <w:rPr>
          <w:rFonts w:ascii="Times New Roman" w:hAnsi="Times New Roman"/>
          <w:i/>
        </w:rPr>
        <w:t>tort law</w:t>
      </w:r>
      <w:r w:rsidRPr="002D09EE">
        <w:rPr>
          <w:rFonts w:ascii="Times New Roman" w:hAnsi="Times New Roman"/>
        </w:rPr>
        <w:t>)</w:t>
      </w:r>
      <w:r>
        <w:rPr>
          <w:rFonts w:ascii="Times New Roman" w:hAnsi="Times New Roman"/>
        </w:rPr>
        <w:t xml:space="preserve"> </w:t>
      </w:r>
      <w:r w:rsidRPr="002D09EE">
        <w:rPr>
          <w:rFonts w:ascii="Times New Roman" w:hAnsi="Times New Roman"/>
        </w:rPr>
        <w:t>non paiono avere riscosso particolare successo. Non è però affatto scontato né che le divergenze siano un dato negativo, avviando esse una selezione, ed anzi una competizione, verso soluzioni più ottimali di protezione della vittima</w:t>
      </w:r>
      <w:r>
        <w:rPr>
          <w:rFonts w:ascii="Times New Roman" w:hAnsi="Times New Roman"/>
        </w:rPr>
        <w:t xml:space="preserve"> e dei diritti fondamentali</w:t>
      </w:r>
      <w:r w:rsidRPr="002D09EE">
        <w:rPr>
          <w:rFonts w:ascii="Times New Roman" w:hAnsi="Times New Roman"/>
        </w:rPr>
        <w:t>, né che le stesse non possano risolvers</w:t>
      </w:r>
      <w:r>
        <w:rPr>
          <w:rFonts w:ascii="Times New Roman" w:hAnsi="Times New Roman"/>
        </w:rPr>
        <w:t>i</w:t>
      </w:r>
      <w:r w:rsidRPr="00BE2E93">
        <w:rPr>
          <w:rFonts w:ascii="Times New Roman" w:hAnsi="Times New Roman"/>
        </w:rPr>
        <w:t xml:space="preserve"> </w:t>
      </w:r>
      <w:r w:rsidRPr="002D09EE">
        <w:rPr>
          <w:rFonts w:ascii="Times New Roman" w:hAnsi="Times New Roman"/>
        </w:rPr>
        <w:t xml:space="preserve">in regole comuni, se affidate a un processo “spontaneo” di armonizzazione graduale </w:t>
      </w:r>
      <w:r>
        <w:rPr>
          <w:rFonts w:ascii="Times New Roman" w:hAnsi="Times New Roman"/>
        </w:rPr>
        <w:t xml:space="preserve">e </w:t>
      </w:r>
      <w:r w:rsidRPr="002D09EE">
        <w:rPr>
          <w:rFonts w:ascii="Times New Roman" w:hAnsi="Times New Roman"/>
        </w:rPr>
        <w:t>dal basso.</w:t>
      </w:r>
      <w:r w:rsidRPr="00C04EF2">
        <w:rPr>
          <w:rFonts w:ascii="Times New Roman" w:hAnsi="Times New Roman"/>
        </w:rPr>
        <w:t xml:space="preserve"> </w:t>
      </w:r>
    </w:p>
    <w:p w:rsidR="004B5101" w:rsidRPr="00AA4967" w:rsidRDefault="004B5101" w:rsidP="00C04EF2">
      <w:pPr>
        <w:jc w:val="both"/>
        <w:rPr>
          <w:rFonts w:ascii="Times New Roman" w:hAnsi="Times New Roman"/>
          <w:b/>
        </w:rPr>
      </w:pPr>
    </w:p>
    <w:p w:rsidR="004B5101" w:rsidRDefault="004B5101"/>
    <w:p w:rsidR="004B5101" w:rsidRDefault="004B5101"/>
    <w:sectPr w:rsidR="004B5101" w:rsidSect="006E0B7F">
      <w:pgSz w:w="11900" w:h="16840"/>
      <w:pgMar w:top="709"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panose1 w:val="00000000000000000000"/>
    <w:charset w:val="00"/>
    <w:family w:val="auto"/>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2522F1"/>
    <w:multiLevelType w:val="hybridMultilevel"/>
    <w:tmpl w:val="FD786D12"/>
    <w:lvl w:ilvl="0" w:tplc="F0FA5C94">
      <w:start w:val="26"/>
      <w:numFmt w:val="bullet"/>
      <w:lvlText w:val="-"/>
      <w:lvlJc w:val="left"/>
      <w:pPr>
        <w:ind w:left="720" w:hanging="360"/>
      </w:pPr>
      <w:rPr>
        <w:rFonts w:ascii="Cambria" w:eastAsia="MS Mincho" w:hAnsi="Cambria"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
    <w:nsid w:val="3C750FF4"/>
    <w:multiLevelType w:val="hybridMultilevel"/>
    <w:tmpl w:val="86A4AC3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2">
    <w:nsid w:val="77776662"/>
    <w:multiLevelType w:val="hybridMultilevel"/>
    <w:tmpl w:val="B1C081B0"/>
    <w:lvl w:ilvl="0" w:tplc="167CEB54">
      <w:numFmt w:val="bullet"/>
      <w:lvlText w:val="–"/>
      <w:lvlJc w:val="left"/>
      <w:pPr>
        <w:ind w:left="720" w:hanging="360"/>
      </w:pPr>
      <w:rPr>
        <w:rFonts w:ascii="Times New Roman" w:eastAsia="MS Mincho" w:hAnsi="Times New Roman"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283"/>
  <w:doNotHyphenateCaps/>
  <w:characterSpacingControl w:val="doNotCompress"/>
  <w:doNotValidateAgainstSchema/>
  <w:doNotDemarcateInvalidXml/>
  <w:compat>
    <w:useFELayout/>
  </w:compat>
  <w:rsids>
    <w:rsidRoot w:val="0057307C"/>
    <w:rsid w:val="000A1C0F"/>
    <w:rsid w:val="000D1FDE"/>
    <w:rsid w:val="001262A7"/>
    <w:rsid w:val="00137C2A"/>
    <w:rsid w:val="00146905"/>
    <w:rsid w:val="00161369"/>
    <w:rsid w:val="001D2103"/>
    <w:rsid w:val="001D7CB5"/>
    <w:rsid w:val="00206801"/>
    <w:rsid w:val="00281869"/>
    <w:rsid w:val="002B3050"/>
    <w:rsid w:val="002C2FB1"/>
    <w:rsid w:val="002D09EE"/>
    <w:rsid w:val="002D0F5B"/>
    <w:rsid w:val="002D2556"/>
    <w:rsid w:val="00376806"/>
    <w:rsid w:val="00391859"/>
    <w:rsid w:val="00394570"/>
    <w:rsid w:val="003B7ECE"/>
    <w:rsid w:val="003D0CA4"/>
    <w:rsid w:val="003F0926"/>
    <w:rsid w:val="00436120"/>
    <w:rsid w:val="00471156"/>
    <w:rsid w:val="00476379"/>
    <w:rsid w:val="00487524"/>
    <w:rsid w:val="004B5101"/>
    <w:rsid w:val="004D310F"/>
    <w:rsid w:val="004E21BF"/>
    <w:rsid w:val="00544D05"/>
    <w:rsid w:val="0057307C"/>
    <w:rsid w:val="0058526E"/>
    <w:rsid w:val="0059336E"/>
    <w:rsid w:val="005E15F9"/>
    <w:rsid w:val="00676480"/>
    <w:rsid w:val="006853D0"/>
    <w:rsid w:val="00696137"/>
    <w:rsid w:val="006C7AB7"/>
    <w:rsid w:val="006E0B7F"/>
    <w:rsid w:val="006F3135"/>
    <w:rsid w:val="006F7434"/>
    <w:rsid w:val="00717E31"/>
    <w:rsid w:val="00763D8E"/>
    <w:rsid w:val="007670E7"/>
    <w:rsid w:val="00807921"/>
    <w:rsid w:val="008230FD"/>
    <w:rsid w:val="00843423"/>
    <w:rsid w:val="00850900"/>
    <w:rsid w:val="00871406"/>
    <w:rsid w:val="0088711D"/>
    <w:rsid w:val="00887155"/>
    <w:rsid w:val="00897589"/>
    <w:rsid w:val="008B2ED4"/>
    <w:rsid w:val="008B396C"/>
    <w:rsid w:val="009071E6"/>
    <w:rsid w:val="00924A28"/>
    <w:rsid w:val="009467AE"/>
    <w:rsid w:val="009E2C12"/>
    <w:rsid w:val="00A50188"/>
    <w:rsid w:val="00A7604E"/>
    <w:rsid w:val="00AA4967"/>
    <w:rsid w:val="00B92D80"/>
    <w:rsid w:val="00B9394D"/>
    <w:rsid w:val="00BC7864"/>
    <w:rsid w:val="00BD28A3"/>
    <w:rsid w:val="00BE2E93"/>
    <w:rsid w:val="00BF02D2"/>
    <w:rsid w:val="00BF0C36"/>
    <w:rsid w:val="00C04EF2"/>
    <w:rsid w:val="00C1270E"/>
    <w:rsid w:val="00C415A0"/>
    <w:rsid w:val="00CA3988"/>
    <w:rsid w:val="00D03845"/>
    <w:rsid w:val="00D23F44"/>
    <w:rsid w:val="00D30F79"/>
    <w:rsid w:val="00D56683"/>
    <w:rsid w:val="00D57B09"/>
    <w:rsid w:val="00D62E69"/>
    <w:rsid w:val="00D877BE"/>
    <w:rsid w:val="00E74588"/>
    <w:rsid w:val="00E85BD2"/>
    <w:rsid w:val="00ED1C10"/>
    <w:rsid w:val="00F07430"/>
    <w:rsid w:val="00F37992"/>
    <w:rsid w:val="00F82704"/>
    <w:rsid w:val="00FD29DA"/>
    <w:rsid w:val="00FF678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nhideWhenUsed="0"/>
    <w:lsdException w:name="Subtitle" w:semiHidden="0" w:uiPriority="11" w:unhideWhenUsed="0" w:qFormat="1"/>
    <w:lsdException w:name="Body Text 2" w:unhideWhenUsed="0"/>
    <w:lsdException w:name="Strong" w:semiHidden="0" w:uiPriority="0"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C7AB7"/>
    <w:rPr>
      <w:sz w:val="24"/>
      <w:szCs w:val="24"/>
    </w:rPr>
  </w:style>
  <w:style w:type="paragraph" w:styleId="Titolo1">
    <w:name w:val="heading 1"/>
    <w:basedOn w:val="Normale"/>
    <w:link w:val="Titolo1Carattere"/>
    <w:uiPriority w:val="99"/>
    <w:qFormat/>
    <w:rsid w:val="00FF6788"/>
    <w:pPr>
      <w:spacing w:before="100" w:beforeAutospacing="1" w:after="100" w:afterAutospacing="1"/>
      <w:outlineLvl w:val="0"/>
    </w:pPr>
    <w:rPr>
      <w:rFonts w:ascii="Times New Roman" w:hAnsi="Times New Roman"/>
      <w:b/>
      <w:bCs/>
      <w:kern w:val="36"/>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FF6788"/>
    <w:rPr>
      <w:rFonts w:ascii="Times New Roman" w:hAnsi="Times New Roman" w:cs="Times New Roman"/>
      <w:b/>
      <w:bCs/>
      <w:kern w:val="36"/>
      <w:sz w:val="48"/>
      <w:szCs w:val="48"/>
    </w:rPr>
  </w:style>
  <w:style w:type="character" w:styleId="Enfasicorsivo">
    <w:name w:val="Emphasis"/>
    <w:basedOn w:val="Carpredefinitoparagrafo"/>
    <w:uiPriority w:val="20"/>
    <w:qFormat/>
    <w:rsid w:val="00FF6788"/>
    <w:rPr>
      <w:rFonts w:cs="Times New Roman"/>
      <w:i/>
      <w:iCs/>
    </w:rPr>
  </w:style>
  <w:style w:type="paragraph" w:styleId="Corpodeltesto2">
    <w:name w:val="Body Text 2"/>
    <w:basedOn w:val="Normale"/>
    <w:link w:val="Corpodeltesto2Carattere"/>
    <w:uiPriority w:val="99"/>
    <w:rsid w:val="00FF6788"/>
    <w:pPr>
      <w:spacing w:before="100" w:beforeAutospacing="1" w:after="100" w:afterAutospacing="1"/>
    </w:pPr>
    <w:rPr>
      <w:rFonts w:ascii="Times New Roman" w:hAnsi="Times New Roman"/>
    </w:rPr>
  </w:style>
  <w:style w:type="character" w:customStyle="1" w:styleId="Corpodeltesto2Carattere">
    <w:name w:val="Corpo del testo 2 Carattere"/>
    <w:basedOn w:val="Carpredefinitoparagrafo"/>
    <w:link w:val="Corpodeltesto2"/>
    <w:uiPriority w:val="99"/>
    <w:rsid w:val="00FF6788"/>
    <w:rPr>
      <w:rFonts w:ascii="Times New Roman" w:hAnsi="Times New Roman" w:cs="Times New Roman"/>
    </w:rPr>
  </w:style>
  <w:style w:type="character" w:styleId="Enfasigrassetto">
    <w:name w:val="Strong"/>
    <w:basedOn w:val="Carpredefinitoparagrafo"/>
    <w:qFormat/>
    <w:rsid w:val="00FF6788"/>
    <w:rPr>
      <w:rFonts w:cs="Times New Roman"/>
      <w:b/>
      <w:bCs/>
    </w:rPr>
  </w:style>
  <w:style w:type="paragraph" w:styleId="Titolo">
    <w:name w:val="Title"/>
    <w:basedOn w:val="Normale"/>
    <w:link w:val="TitoloCarattere"/>
    <w:qFormat/>
    <w:rsid w:val="00FF6788"/>
    <w:pPr>
      <w:spacing w:before="100" w:beforeAutospacing="1" w:after="100" w:afterAutospacing="1"/>
    </w:pPr>
    <w:rPr>
      <w:rFonts w:ascii="Times New Roman" w:hAnsi="Times New Roman"/>
    </w:rPr>
  </w:style>
  <w:style w:type="character" w:customStyle="1" w:styleId="TitoloCarattere">
    <w:name w:val="Titolo Carattere"/>
    <w:basedOn w:val="Carpredefinitoparagrafo"/>
    <w:link w:val="Titolo"/>
    <w:rsid w:val="00FF6788"/>
    <w:rPr>
      <w:rFonts w:ascii="Times New Roman" w:hAnsi="Times New Roman" w:cs="Times New Roman"/>
    </w:rPr>
  </w:style>
  <w:style w:type="paragraph" w:styleId="Testofumetto">
    <w:name w:val="Balloon Text"/>
    <w:basedOn w:val="Normale"/>
    <w:link w:val="TestofumettoCarattere"/>
    <w:uiPriority w:val="99"/>
    <w:semiHidden/>
    <w:rsid w:val="00FF6788"/>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FF6788"/>
    <w:rPr>
      <w:rFonts w:ascii="Lucida Grande" w:hAnsi="Lucida Grande" w:cs="Times New Roman"/>
      <w:sz w:val="18"/>
      <w:szCs w:val="18"/>
    </w:rPr>
  </w:style>
  <w:style w:type="paragraph" w:styleId="Paragrafoelenco">
    <w:name w:val="List Paragraph"/>
    <w:basedOn w:val="Normale"/>
    <w:uiPriority w:val="99"/>
    <w:qFormat/>
    <w:rsid w:val="00FF6788"/>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74378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870</Words>
  <Characters>4962</Characters>
  <Application>Microsoft Office Word</Application>
  <DocSecurity>0</DocSecurity>
  <Lines>41</Lines>
  <Paragraphs>11</Paragraphs>
  <ScaleCrop>false</ScaleCrop>
  <HeadingPairs>
    <vt:vector size="2" baseType="variant">
      <vt:variant>
        <vt:lpstr>Titolo</vt:lpstr>
      </vt:variant>
      <vt:variant>
        <vt:i4>1</vt:i4>
      </vt:variant>
    </vt:vector>
  </HeadingPairs>
  <TitlesOfParts>
    <vt:vector size="1" baseType="lpstr">
      <vt:lpstr> </vt:lpstr>
    </vt:vector>
  </TitlesOfParts>
  <Company>Minerva Finconsulting srl</Company>
  <LinksUpToDate>false</LinksUpToDate>
  <CharactersWithSpaces>5821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Cerini</dc:creator>
  <cp:lastModifiedBy>.</cp:lastModifiedBy>
  <cp:revision>2</cp:revision>
  <cp:lastPrinted>2014-05-05T15:50:00Z</cp:lastPrinted>
  <dcterms:created xsi:type="dcterms:W3CDTF">2014-05-12T10:32:00Z</dcterms:created>
  <dcterms:modified xsi:type="dcterms:W3CDTF">2014-05-12T10:32:00Z</dcterms:modified>
</cp:coreProperties>
</file>