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6293" w:rsidRPr="00B54B01" w:rsidRDefault="00276293" w:rsidP="00276293">
      <w:pPr>
        <w:jc w:val="center"/>
        <w:rPr>
          <w:b/>
        </w:rPr>
      </w:pPr>
      <w:r w:rsidRPr="00B54B01">
        <w:rPr>
          <w:b/>
        </w:rPr>
        <w:t>Tribunale di Milano</w:t>
      </w:r>
    </w:p>
    <w:p w:rsidR="00276293" w:rsidRPr="00B54B01" w:rsidRDefault="00276293" w:rsidP="00276293">
      <w:pPr>
        <w:jc w:val="center"/>
        <w:rPr>
          <w:b/>
        </w:rPr>
      </w:pPr>
      <w:r w:rsidRPr="00B54B01">
        <w:rPr>
          <w:b/>
        </w:rPr>
        <w:t>2 novembre 2010</w:t>
      </w:r>
    </w:p>
    <w:p w:rsidR="00276293" w:rsidRDefault="00276293" w:rsidP="00276293">
      <w:pPr>
        <w:jc w:val="center"/>
      </w:pPr>
      <w:r>
        <w:t xml:space="preserve">Presidente Cesare de </w:t>
      </w:r>
      <w:proofErr w:type="spellStart"/>
      <w:r>
        <w:t>Sapia</w:t>
      </w:r>
      <w:proofErr w:type="spellEnd"/>
      <w:r>
        <w:t xml:space="preserve"> – Paola </w:t>
      </w:r>
      <w:proofErr w:type="spellStart"/>
      <w:r>
        <w:t>Gandolfi</w:t>
      </w:r>
      <w:proofErr w:type="spellEnd"/>
      <w:r>
        <w:t xml:space="preserve"> – Claudio Marangoni</w:t>
      </w:r>
    </w:p>
    <w:p w:rsidR="00276293" w:rsidRPr="00FC61E1" w:rsidRDefault="00276293" w:rsidP="00276293">
      <w:pPr>
        <w:jc w:val="center"/>
      </w:pPr>
      <w:r w:rsidRPr="00FC61E1">
        <w:t xml:space="preserve">Pirelli </w:t>
      </w:r>
      <w:proofErr w:type="spellStart"/>
      <w:r w:rsidRPr="00FC61E1">
        <w:t>Tyre</w:t>
      </w:r>
      <w:proofErr w:type="spellEnd"/>
      <w:r w:rsidRPr="00FC61E1">
        <w:t xml:space="preserve"> SpA (A</w:t>
      </w:r>
      <w:r>
        <w:t xml:space="preserve">vv.ti E. Adriano Raffaelli e Michele </w:t>
      </w:r>
      <w:proofErr w:type="spellStart"/>
      <w:r>
        <w:t>Franzosi</w:t>
      </w:r>
      <w:proofErr w:type="spellEnd"/>
      <w:r>
        <w:t xml:space="preserve">) </w:t>
      </w:r>
      <w:r w:rsidRPr="00FC61E1">
        <w:t xml:space="preserve">c. Michelin Italiana SAMI e </w:t>
      </w:r>
      <w:proofErr w:type="spellStart"/>
      <w:r w:rsidRPr="00FC61E1">
        <w:t>Manufacture</w:t>
      </w:r>
      <w:proofErr w:type="spellEnd"/>
      <w:r w:rsidRPr="00FC61E1">
        <w:t xml:space="preserve"> </w:t>
      </w:r>
      <w:proofErr w:type="spellStart"/>
      <w:smartTag w:uri="urn:schemas-microsoft-com:office:smarttags" w:element="PersonName">
        <w:r w:rsidRPr="00FC61E1">
          <w:t>Fra</w:t>
        </w:r>
      </w:smartTag>
      <w:r w:rsidRPr="00FC61E1">
        <w:t>ncaise</w:t>
      </w:r>
      <w:proofErr w:type="spellEnd"/>
      <w:r w:rsidRPr="00FC61E1">
        <w:t xml:space="preserve"> </w:t>
      </w:r>
      <w:proofErr w:type="spellStart"/>
      <w:r w:rsidRPr="00FC61E1">
        <w:t>Des</w:t>
      </w:r>
      <w:proofErr w:type="spellEnd"/>
      <w:r w:rsidRPr="00FC61E1">
        <w:t xml:space="preserve"> </w:t>
      </w:r>
      <w:proofErr w:type="spellStart"/>
      <w:r w:rsidRPr="00FC61E1">
        <w:t>Pneumatiques</w:t>
      </w:r>
      <w:proofErr w:type="spellEnd"/>
      <w:r w:rsidRPr="00FC61E1">
        <w:t xml:space="preserve"> Michelin – Michelin et </w:t>
      </w:r>
      <w:proofErr w:type="spellStart"/>
      <w:r w:rsidRPr="00FC61E1">
        <w:t>CIE</w:t>
      </w:r>
      <w:proofErr w:type="spellEnd"/>
      <w:r>
        <w:t xml:space="preserve"> (Avv.ti A. </w:t>
      </w:r>
      <w:proofErr w:type="spellStart"/>
      <w:r>
        <w:t>Camusso</w:t>
      </w:r>
      <w:proofErr w:type="spellEnd"/>
      <w:r>
        <w:t xml:space="preserve"> e M. </w:t>
      </w:r>
      <w:proofErr w:type="spellStart"/>
      <w:r>
        <w:t>Francetti</w:t>
      </w:r>
      <w:proofErr w:type="spellEnd"/>
      <w:r>
        <w:t>)</w:t>
      </w:r>
    </w:p>
    <w:p w:rsidR="00276293" w:rsidRPr="00FC61E1" w:rsidRDefault="00276293" w:rsidP="00276293"/>
    <w:p w:rsidR="00276293" w:rsidRPr="00FC61E1" w:rsidRDefault="00276293" w:rsidP="00276293"/>
    <w:p w:rsidR="00276293" w:rsidRPr="00D048AF" w:rsidRDefault="00276293" w:rsidP="00276293">
      <w:pPr>
        <w:rPr>
          <w:b/>
        </w:rPr>
      </w:pPr>
      <w:r>
        <w:rPr>
          <w:b/>
        </w:rPr>
        <w:t xml:space="preserve">Marchio - </w:t>
      </w:r>
      <w:r w:rsidRPr="00D048AF">
        <w:rPr>
          <w:b/>
        </w:rPr>
        <w:t xml:space="preserve">Marchio “Diavolo” – Marchio “Diablo” – Contraffazione – </w:t>
      </w:r>
      <w:proofErr w:type="spellStart"/>
      <w:r w:rsidRPr="00D048AF">
        <w:rPr>
          <w:b/>
        </w:rPr>
        <w:t>Confondibilità</w:t>
      </w:r>
      <w:proofErr w:type="spellEnd"/>
      <w:r w:rsidRPr="00D048AF">
        <w:rPr>
          <w:b/>
        </w:rPr>
        <w:t xml:space="preserve"> -  Marchio debole e marchio forte.</w:t>
      </w:r>
    </w:p>
    <w:p w:rsidR="00276293" w:rsidRPr="00D048AF" w:rsidRDefault="00276293" w:rsidP="00276293">
      <w:pPr>
        <w:rPr>
          <w:b/>
        </w:rPr>
      </w:pPr>
      <w:r w:rsidRPr="00D048AF">
        <w:rPr>
          <w:b/>
        </w:rPr>
        <w:t>Marchio Diablo -  Marchio anteriore analogo -  Marchio forte</w:t>
      </w:r>
      <w:r>
        <w:rPr>
          <w:b/>
        </w:rPr>
        <w:t>: R</w:t>
      </w:r>
      <w:r w:rsidRPr="00D048AF">
        <w:rPr>
          <w:b/>
        </w:rPr>
        <w:t>afforzamento tramite l’uso</w:t>
      </w:r>
    </w:p>
    <w:p w:rsidR="00276293" w:rsidRPr="00D048AF" w:rsidRDefault="00276293" w:rsidP="00276293">
      <w:pPr>
        <w:rPr>
          <w:b/>
        </w:rPr>
      </w:pPr>
      <w:r>
        <w:rPr>
          <w:b/>
        </w:rPr>
        <w:t xml:space="preserve">Marchio - </w:t>
      </w:r>
      <w:r w:rsidRPr="00D048AF">
        <w:rPr>
          <w:b/>
        </w:rPr>
        <w:t xml:space="preserve">Ambito di tutela conferito dalla registrazione, Valutazione </w:t>
      </w:r>
      <w:proofErr w:type="spellStart"/>
      <w:r w:rsidRPr="00D048AF">
        <w:rPr>
          <w:b/>
        </w:rPr>
        <w:t>confondibilità</w:t>
      </w:r>
      <w:proofErr w:type="spellEnd"/>
      <w:r w:rsidRPr="00D048AF">
        <w:rPr>
          <w:b/>
        </w:rPr>
        <w:t xml:space="preserve"> in astratto</w:t>
      </w:r>
    </w:p>
    <w:p w:rsidR="00276293" w:rsidRPr="00D048AF" w:rsidRDefault="00276293" w:rsidP="00276293">
      <w:pPr>
        <w:rPr>
          <w:b/>
        </w:rPr>
      </w:pPr>
      <w:r>
        <w:rPr>
          <w:b/>
        </w:rPr>
        <w:t>Concorrenza sleale -</w:t>
      </w:r>
      <w:r w:rsidRPr="00D048AF">
        <w:rPr>
          <w:b/>
        </w:rPr>
        <w:t xml:space="preserve"> contraffazione di marchio</w:t>
      </w:r>
    </w:p>
    <w:p w:rsidR="00276293" w:rsidRDefault="00276293" w:rsidP="00276293"/>
    <w:p w:rsidR="00276293" w:rsidRPr="006969D2" w:rsidRDefault="00276293" w:rsidP="00276293">
      <w:pPr>
        <w:rPr>
          <w:i/>
          <w:sz w:val="24"/>
        </w:rPr>
      </w:pPr>
      <w:r w:rsidRPr="006969D2">
        <w:rPr>
          <w:i/>
          <w:sz w:val="24"/>
        </w:rPr>
        <w:t xml:space="preserve">Sussiste contraffazione per violazione dell’art. 20, co. I, </w:t>
      </w:r>
      <w:proofErr w:type="spellStart"/>
      <w:r w:rsidRPr="006969D2">
        <w:rPr>
          <w:i/>
          <w:sz w:val="24"/>
        </w:rPr>
        <w:t>lett</w:t>
      </w:r>
      <w:proofErr w:type="spellEnd"/>
      <w:r w:rsidRPr="006969D2">
        <w:rPr>
          <w:i/>
          <w:sz w:val="24"/>
        </w:rPr>
        <w:t xml:space="preserve">. b) </w:t>
      </w:r>
      <w:proofErr w:type="spellStart"/>
      <w:r w:rsidRPr="006969D2">
        <w:rPr>
          <w:i/>
          <w:sz w:val="24"/>
        </w:rPr>
        <w:t>CPI</w:t>
      </w:r>
      <w:proofErr w:type="spellEnd"/>
      <w:r w:rsidRPr="006969D2">
        <w:rPr>
          <w:i/>
          <w:sz w:val="24"/>
        </w:rPr>
        <w:t xml:space="preserve"> tra i segni distintivi DIABOLO e DIABLO, in quanto il primo è sostantivo pressoché identico al secondo sotto il profilo grafico, fonetico e semantico. L’aggiunta della lettera “O”, infatti, appare poco significativa ai fini distintivi, rimanendo identiche le lettere iniziali, normalmente più significative, nonché quelle finali. Inoltre, i due termini risultano accomunati dal riferimento al medesimo concetto (il diavolo). </w:t>
      </w:r>
    </w:p>
    <w:p w:rsidR="00276293" w:rsidRPr="006969D2" w:rsidRDefault="00276293" w:rsidP="00276293">
      <w:pPr>
        <w:rPr>
          <w:i/>
          <w:sz w:val="24"/>
        </w:rPr>
      </w:pPr>
    </w:p>
    <w:p w:rsidR="00276293" w:rsidRPr="006969D2" w:rsidRDefault="00276293" w:rsidP="00276293">
      <w:pPr>
        <w:rPr>
          <w:i/>
          <w:sz w:val="24"/>
        </w:rPr>
      </w:pPr>
      <w:r w:rsidRPr="006969D2">
        <w:rPr>
          <w:i/>
          <w:sz w:val="24"/>
        </w:rPr>
        <w:t xml:space="preserve">L’esistenza nel mercato di un marchio DIABLO, precedentemente registrato rispetto al marchio DIABLO azionato, non rende quest’ultimo un marchio debole qualora non vi sia riscontro dell’attualità dell’uso del segno precedente ed il marchio azionato non abbia diretta attinenza con il prodotto contraddistinto e sia adeguatamente rafforzato dall’uso (nel caso di specie, il marchio anteriore era stato registrato ed utilizzato per contraddistinguere autoveicoli, mentre il marchio successivo era registrato per pneumatici per veicoli a due ruote). </w:t>
      </w:r>
    </w:p>
    <w:p w:rsidR="00276293" w:rsidRPr="006969D2" w:rsidRDefault="00276293" w:rsidP="00276293">
      <w:pPr>
        <w:rPr>
          <w:i/>
          <w:sz w:val="24"/>
        </w:rPr>
      </w:pPr>
    </w:p>
    <w:p w:rsidR="00276293" w:rsidRPr="006969D2" w:rsidRDefault="00276293" w:rsidP="00276293">
      <w:pPr>
        <w:rPr>
          <w:i/>
          <w:sz w:val="24"/>
        </w:rPr>
      </w:pPr>
      <w:r w:rsidRPr="006969D2">
        <w:rPr>
          <w:i/>
          <w:sz w:val="24"/>
        </w:rPr>
        <w:t>La registrazione di marchio tutela l’uso esclusivo del marchio in relazione a tutti i prodotti per i quali il marchio è registrato, a prescindere dal suo attuale utilizzo (fattispecie relativa ad un marchio registrato anche per prodotti per i quali il marchio non era attualmente utilizzato, ed in cui il Tribunale ha effettuato il giudizio di contraffazione sulla base della registrazione del marchio da un lato e dell’utilizzo del segno in contraffazione dall’altro).</w:t>
      </w:r>
    </w:p>
    <w:p w:rsidR="00276293" w:rsidRPr="006969D2" w:rsidRDefault="00276293" w:rsidP="00276293">
      <w:pPr>
        <w:rPr>
          <w:i/>
          <w:sz w:val="24"/>
        </w:rPr>
      </w:pPr>
    </w:p>
    <w:p w:rsidR="00276293" w:rsidRPr="006969D2" w:rsidRDefault="00276293" w:rsidP="00276293">
      <w:pPr>
        <w:rPr>
          <w:i/>
          <w:sz w:val="24"/>
        </w:rPr>
      </w:pPr>
      <w:r w:rsidRPr="006969D2">
        <w:rPr>
          <w:i/>
          <w:sz w:val="24"/>
        </w:rPr>
        <w:t xml:space="preserve">Deve escludersi l’illecito di concorrenza sleale ai sensi dell’art. 2598 c.c. qualora esso, pur rappresentato con riferimento all’appropriazione di pregi ed alla violazione dei principi di correttezza professionale, si fondi (unicamente) sul pericolo di confusione che deriva dalla contraffazione e risulti, pertanto, assorbito dall’accertato illecito </w:t>
      </w:r>
      <w:proofErr w:type="spellStart"/>
      <w:r w:rsidRPr="006969D2">
        <w:rPr>
          <w:i/>
          <w:sz w:val="24"/>
        </w:rPr>
        <w:t>contraffattorio</w:t>
      </w:r>
      <w:proofErr w:type="spellEnd"/>
      <w:r w:rsidRPr="006969D2">
        <w:rPr>
          <w:i/>
          <w:sz w:val="24"/>
        </w:rPr>
        <w:t>.</w:t>
      </w:r>
    </w:p>
    <w:p w:rsidR="00276293" w:rsidRDefault="00276293" w:rsidP="00276293"/>
    <w:p w:rsidR="0006333E" w:rsidRDefault="0006333E">
      <w:bookmarkStart w:id="0" w:name="_GoBack"/>
      <w:bookmarkEnd w:id="0"/>
    </w:p>
    <w:sectPr w:rsidR="0006333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44BE"/>
    <w:rsid w:val="0006333E"/>
    <w:rsid w:val="00276293"/>
    <w:rsid w:val="00A344B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76293"/>
    <w:pPr>
      <w:spacing w:after="0" w:line="240" w:lineRule="auto"/>
    </w:pPr>
    <w:rPr>
      <w:rFonts w:ascii="Calibri" w:eastAsia="Calibri" w:hAnsi="Calibri" w:cs="Times New Roman"/>
      <w:sz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76293"/>
    <w:pPr>
      <w:spacing w:after="0" w:line="240" w:lineRule="auto"/>
    </w:pPr>
    <w:rPr>
      <w:rFonts w:ascii="Calibri" w:eastAsia="Calibri" w:hAnsi="Calibri" w:cs="Times New Roman"/>
      <w:sz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378</Words>
  <Characters>2160</Characters>
  <Application>Microsoft Office Word</Application>
  <DocSecurity>0</DocSecurity>
  <Lines>18</Lines>
  <Paragraphs>5</Paragraphs>
  <ScaleCrop>false</ScaleCrop>
  <Company/>
  <LinksUpToDate>false</LinksUpToDate>
  <CharactersWithSpaces>2533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prof67</dc:creator>
  <cp:keywords/>
  <dc:description/>
  <cp:lastModifiedBy>prof67</cp:lastModifiedBy>
  <cp:revision>2</cp:revision>
  <dcterms:created xsi:type="dcterms:W3CDTF">2012-04-14T19:25:00Z</dcterms:created>
  <dcterms:modified xsi:type="dcterms:W3CDTF">2012-04-14T19:26:00Z</dcterms:modified>
</cp:coreProperties>
</file>