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4BE1D" w14:textId="7D648530" w:rsidR="002711EA" w:rsidRPr="002711EA" w:rsidRDefault="002711EA" w:rsidP="00053DB1">
      <w:pPr>
        <w:spacing w:line="276" w:lineRule="auto"/>
        <w:jc w:val="center"/>
        <w:rPr>
          <w:rFonts w:cstheme="minorHAnsi"/>
          <w:lang w:val="en-US"/>
        </w:rPr>
      </w:pPr>
      <w:bookmarkStart w:id="0" w:name="_Hlk171410915"/>
      <w:r w:rsidRPr="002711EA">
        <w:rPr>
          <w:rFonts w:cstheme="minorHAnsi"/>
          <w:b/>
          <w:bCs/>
          <w:lang w:val="en-US"/>
        </w:rPr>
        <w:t>Defective IL-10-mediated modulation of monocytes from autoimmune patients</w:t>
      </w:r>
    </w:p>
    <w:p w14:paraId="64A0F739" w14:textId="77777777" w:rsidR="002711EA" w:rsidRDefault="002711EA" w:rsidP="00410C14">
      <w:pPr>
        <w:spacing w:line="276" w:lineRule="auto"/>
        <w:jc w:val="both"/>
        <w:rPr>
          <w:rFonts w:cstheme="minorHAnsi"/>
          <w:sz w:val="22"/>
          <w:szCs w:val="22"/>
          <w:lang w:val="en-US"/>
        </w:rPr>
      </w:pPr>
    </w:p>
    <w:p w14:paraId="1CBD6DE1" w14:textId="1ECE1FA6" w:rsidR="00DC5A49" w:rsidRPr="002711EA" w:rsidRDefault="00DC5A49" w:rsidP="00410C14">
      <w:pPr>
        <w:spacing w:line="276" w:lineRule="auto"/>
        <w:jc w:val="both"/>
        <w:rPr>
          <w:rFonts w:cstheme="minorHAnsi"/>
          <w:sz w:val="22"/>
          <w:szCs w:val="22"/>
          <w:u w:val="single"/>
          <w:vertAlign w:val="superscript"/>
        </w:rPr>
      </w:pPr>
      <w:r w:rsidRPr="00277A6C">
        <w:rPr>
          <w:rFonts w:cstheme="minorHAnsi"/>
          <w:sz w:val="22"/>
          <w:szCs w:val="22"/>
        </w:rPr>
        <w:t>Gloria Giaco</w:t>
      </w:r>
      <w:r w:rsidRPr="00E37203">
        <w:rPr>
          <w:rFonts w:cstheme="minorHAnsi"/>
          <w:sz w:val="22"/>
          <w:szCs w:val="22"/>
        </w:rPr>
        <w:t>mello</w:t>
      </w:r>
      <w:r w:rsidRPr="00E37203">
        <w:rPr>
          <w:rFonts w:cstheme="minorHAnsi"/>
          <w:sz w:val="22"/>
          <w:szCs w:val="22"/>
          <w:vertAlign w:val="superscript"/>
        </w:rPr>
        <w:t>1,2</w:t>
      </w:r>
      <w:bookmarkStart w:id="1" w:name="_Hlk171417221"/>
      <w:r w:rsidR="002711EA">
        <w:rPr>
          <w:rFonts w:cstheme="minorHAnsi"/>
          <w:sz w:val="22"/>
          <w:szCs w:val="22"/>
          <w:u w:val="single"/>
          <w:vertAlign w:val="superscript"/>
        </w:rPr>
        <w:t xml:space="preserve">, </w:t>
      </w:r>
      <w:r w:rsidRPr="006D66CA">
        <w:rPr>
          <w:rFonts w:cstheme="minorHAnsi"/>
          <w:sz w:val="22"/>
          <w:szCs w:val="22"/>
        </w:rPr>
        <w:t>Francesca Santoni De Sio</w:t>
      </w:r>
      <w:r>
        <w:rPr>
          <w:rFonts w:cstheme="minorHAnsi"/>
          <w:sz w:val="22"/>
          <w:szCs w:val="22"/>
          <w:vertAlign w:val="superscript"/>
        </w:rPr>
        <w:t>2</w:t>
      </w:r>
      <w:r w:rsidRPr="006D66CA">
        <w:rPr>
          <w:rFonts w:cstheme="minorHAnsi"/>
          <w:sz w:val="22"/>
          <w:szCs w:val="22"/>
        </w:rPr>
        <w:t>, Aurora Forlani</w:t>
      </w:r>
      <w:r>
        <w:rPr>
          <w:rFonts w:cstheme="minorHAnsi"/>
          <w:sz w:val="22"/>
          <w:szCs w:val="22"/>
          <w:vertAlign w:val="superscript"/>
        </w:rPr>
        <w:t>2</w:t>
      </w:r>
      <w:r>
        <w:rPr>
          <w:rFonts w:cstheme="minorHAnsi"/>
          <w:sz w:val="22"/>
          <w:szCs w:val="22"/>
        </w:rPr>
        <w:t xml:space="preserve">, </w:t>
      </w:r>
      <w:r w:rsidRPr="006D66CA">
        <w:rPr>
          <w:rFonts w:cstheme="minorHAnsi"/>
          <w:sz w:val="22"/>
          <w:szCs w:val="22"/>
        </w:rPr>
        <w:t>G</w:t>
      </w:r>
      <w:r>
        <w:rPr>
          <w:rFonts w:cstheme="minorHAnsi"/>
          <w:sz w:val="22"/>
          <w:szCs w:val="22"/>
        </w:rPr>
        <w:t>abriella</w:t>
      </w:r>
      <w:r w:rsidRPr="006D66CA">
        <w:rPr>
          <w:rFonts w:cstheme="minorHAnsi"/>
          <w:sz w:val="22"/>
          <w:szCs w:val="22"/>
        </w:rPr>
        <w:t xml:space="preserve"> Maioli</w:t>
      </w:r>
      <w:r>
        <w:rPr>
          <w:rFonts w:cstheme="minorHAnsi"/>
          <w:sz w:val="22"/>
          <w:szCs w:val="22"/>
          <w:vertAlign w:val="superscript"/>
        </w:rPr>
        <w:t>3</w:t>
      </w:r>
      <w:r w:rsidRPr="006D66CA">
        <w:rPr>
          <w:rFonts w:cstheme="minorHAnsi"/>
          <w:sz w:val="22"/>
          <w:szCs w:val="22"/>
        </w:rPr>
        <w:t>, M</w:t>
      </w:r>
      <w:r>
        <w:rPr>
          <w:rFonts w:cstheme="minorHAnsi"/>
          <w:sz w:val="22"/>
          <w:szCs w:val="22"/>
        </w:rPr>
        <w:t xml:space="preserve">arina </w:t>
      </w:r>
      <w:r w:rsidRPr="006D66CA">
        <w:rPr>
          <w:rFonts w:cstheme="minorHAnsi"/>
          <w:sz w:val="22"/>
          <w:szCs w:val="22"/>
        </w:rPr>
        <w:t>Scavini</w:t>
      </w:r>
      <w:r>
        <w:rPr>
          <w:rFonts w:cstheme="minorHAnsi"/>
          <w:sz w:val="22"/>
          <w:szCs w:val="22"/>
          <w:vertAlign w:val="superscript"/>
        </w:rPr>
        <w:t>4</w:t>
      </w:r>
      <w:r w:rsidRPr="006D66CA">
        <w:rPr>
          <w:rFonts w:cstheme="minorHAnsi"/>
          <w:sz w:val="22"/>
          <w:szCs w:val="22"/>
        </w:rPr>
        <w:t>, A</w:t>
      </w:r>
      <w:r>
        <w:rPr>
          <w:rFonts w:cstheme="minorHAnsi"/>
          <w:sz w:val="22"/>
          <w:szCs w:val="22"/>
        </w:rPr>
        <w:t>nna</w:t>
      </w:r>
      <w:r w:rsidRPr="006D66CA">
        <w:rPr>
          <w:rFonts w:cstheme="minorHAnsi"/>
          <w:sz w:val="22"/>
          <w:szCs w:val="22"/>
        </w:rPr>
        <w:t xml:space="preserve"> Zanardini</w:t>
      </w:r>
      <w:r>
        <w:rPr>
          <w:rFonts w:cstheme="minorHAnsi"/>
          <w:sz w:val="22"/>
          <w:szCs w:val="22"/>
          <w:vertAlign w:val="superscript"/>
        </w:rPr>
        <w:t>5</w:t>
      </w:r>
      <w:r w:rsidRPr="006D66CA">
        <w:rPr>
          <w:rFonts w:cstheme="minorHAnsi"/>
          <w:sz w:val="22"/>
          <w:szCs w:val="22"/>
        </w:rPr>
        <w:t xml:space="preserve">, </w:t>
      </w:r>
      <w:r>
        <w:rPr>
          <w:rFonts w:cstheme="minorHAnsi"/>
          <w:sz w:val="22"/>
          <w:szCs w:val="22"/>
        </w:rPr>
        <w:t>Roberto Caporali</w:t>
      </w:r>
      <w:r w:rsidRPr="003C272A">
        <w:rPr>
          <w:rFonts w:cstheme="minorHAnsi"/>
          <w:sz w:val="22"/>
          <w:szCs w:val="22"/>
          <w:vertAlign w:val="superscript"/>
        </w:rPr>
        <w:t>3</w:t>
      </w:r>
      <w:r>
        <w:rPr>
          <w:rFonts w:cstheme="minorHAnsi"/>
          <w:sz w:val="22"/>
          <w:szCs w:val="22"/>
        </w:rPr>
        <w:t xml:space="preserve">, </w:t>
      </w:r>
      <w:r w:rsidRPr="006D66CA">
        <w:rPr>
          <w:rFonts w:cstheme="minorHAnsi"/>
          <w:sz w:val="22"/>
          <w:szCs w:val="22"/>
        </w:rPr>
        <w:t>L</w:t>
      </w:r>
      <w:r>
        <w:rPr>
          <w:rFonts w:cstheme="minorHAnsi"/>
          <w:sz w:val="22"/>
          <w:szCs w:val="22"/>
        </w:rPr>
        <w:t>orenzo</w:t>
      </w:r>
      <w:r w:rsidRPr="006D66CA">
        <w:rPr>
          <w:rFonts w:cstheme="minorHAnsi"/>
          <w:sz w:val="22"/>
          <w:szCs w:val="22"/>
        </w:rPr>
        <w:t xml:space="preserve"> Piemonti</w:t>
      </w:r>
      <w:r>
        <w:rPr>
          <w:rFonts w:cstheme="minorHAnsi"/>
          <w:sz w:val="22"/>
          <w:szCs w:val="22"/>
          <w:vertAlign w:val="superscript"/>
        </w:rPr>
        <w:t>4</w:t>
      </w:r>
      <w:r w:rsidRPr="006D66CA">
        <w:rPr>
          <w:rFonts w:cstheme="minorHAnsi"/>
          <w:sz w:val="22"/>
          <w:szCs w:val="22"/>
        </w:rPr>
        <w:t>,</w:t>
      </w:r>
      <w:r>
        <w:rPr>
          <w:rFonts w:cstheme="minorHAnsi"/>
          <w:sz w:val="22"/>
          <w:szCs w:val="22"/>
        </w:rPr>
        <w:t xml:space="preserve"> Marta Serafini</w:t>
      </w:r>
      <w:r>
        <w:rPr>
          <w:rFonts w:cstheme="minorHAnsi"/>
          <w:sz w:val="22"/>
          <w:szCs w:val="22"/>
          <w:vertAlign w:val="superscript"/>
        </w:rPr>
        <w:t>1,6</w:t>
      </w:r>
      <w:r>
        <w:rPr>
          <w:rFonts w:cstheme="minorHAnsi"/>
          <w:sz w:val="22"/>
          <w:szCs w:val="22"/>
        </w:rPr>
        <w:t>,</w:t>
      </w:r>
      <w:r w:rsidRPr="006D66CA">
        <w:rPr>
          <w:rFonts w:cstheme="minorHAnsi"/>
          <w:sz w:val="22"/>
          <w:szCs w:val="22"/>
        </w:rPr>
        <w:t xml:space="preserve"> Laura Passerini</w:t>
      </w:r>
      <w:r>
        <w:rPr>
          <w:rFonts w:cstheme="minorHAnsi"/>
          <w:sz w:val="22"/>
          <w:szCs w:val="22"/>
          <w:vertAlign w:val="superscript"/>
        </w:rPr>
        <w:t>2</w:t>
      </w:r>
      <w:r w:rsidRPr="006D66CA">
        <w:rPr>
          <w:rFonts w:cstheme="minorHAnsi"/>
          <w:sz w:val="22"/>
          <w:szCs w:val="22"/>
        </w:rPr>
        <w:t xml:space="preserve">, </w:t>
      </w:r>
      <w:r>
        <w:rPr>
          <w:rFonts w:cstheme="minorHAnsi"/>
          <w:sz w:val="22"/>
          <w:szCs w:val="22"/>
        </w:rPr>
        <w:t xml:space="preserve">and </w:t>
      </w:r>
      <w:r w:rsidRPr="006D66CA">
        <w:rPr>
          <w:rFonts w:cstheme="minorHAnsi"/>
          <w:sz w:val="22"/>
          <w:szCs w:val="22"/>
        </w:rPr>
        <w:t>Silvia Gregori</w:t>
      </w:r>
      <w:r>
        <w:rPr>
          <w:rFonts w:cstheme="minorHAnsi"/>
          <w:sz w:val="22"/>
          <w:szCs w:val="22"/>
          <w:vertAlign w:val="superscript"/>
        </w:rPr>
        <w:t>2</w:t>
      </w:r>
      <w:r w:rsidRPr="006D66CA">
        <w:rPr>
          <w:rFonts w:cstheme="minorHAnsi"/>
          <w:sz w:val="22"/>
          <w:szCs w:val="22"/>
        </w:rPr>
        <w:t xml:space="preserve"> </w:t>
      </w:r>
    </w:p>
    <w:bookmarkEnd w:id="1"/>
    <w:p w14:paraId="2A2D15D3" w14:textId="77777777" w:rsidR="00DC5A49" w:rsidRPr="006D66CA" w:rsidRDefault="00DC5A49" w:rsidP="00410C14">
      <w:pPr>
        <w:spacing w:line="276" w:lineRule="auto"/>
        <w:jc w:val="both"/>
        <w:rPr>
          <w:rFonts w:cstheme="minorHAnsi"/>
          <w:sz w:val="22"/>
          <w:szCs w:val="22"/>
        </w:rPr>
      </w:pPr>
    </w:p>
    <w:p w14:paraId="5E4485EA" w14:textId="6325DC7F" w:rsidR="00DC5A49" w:rsidRPr="002711EA" w:rsidRDefault="00DC5A49" w:rsidP="002711EA">
      <w:pPr>
        <w:spacing w:line="276" w:lineRule="auto"/>
        <w:jc w:val="both"/>
        <w:rPr>
          <w:rFonts w:cstheme="minorHAnsi"/>
          <w:spacing w:val="3"/>
          <w:sz w:val="22"/>
          <w:szCs w:val="22"/>
          <w:shd w:val="clear" w:color="auto" w:fill="FFFFFF"/>
        </w:rPr>
      </w:pPr>
      <w:r w:rsidRPr="00C47559">
        <w:rPr>
          <w:rFonts w:cstheme="minorHAnsi"/>
          <w:spacing w:val="3"/>
          <w:sz w:val="22"/>
          <w:szCs w:val="22"/>
          <w:shd w:val="clear" w:color="auto" w:fill="FFFFFF"/>
          <w:vertAlign w:val="superscript"/>
        </w:rPr>
        <w:t>1</w:t>
      </w:r>
      <w:r w:rsidRPr="00C47559">
        <w:rPr>
          <w:rFonts w:cstheme="minorHAnsi"/>
          <w:spacing w:val="3"/>
          <w:sz w:val="22"/>
          <w:szCs w:val="22"/>
          <w:shd w:val="clear" w:color="auto" w:fill="FFFFFF"/>
        </w:rPr>
        <w:t>Università degli Studi di Milano-Bicocca</w:t>
      </w:r>
      <w:r w:rsidRPr="00C47559">
        <w:rPr>
          <w:rFonts w:cstheme="minorHAnsi"/>
          <w:spacing w:val="3"/>
          <w:sz w:val="22"/>
          <w:szCs w:val="22"/>
        </w:rPr>
        <w:t>, Dipartimento di Medicina e Chirurgia</w:t>
      </w:r>
      <w:r w:rsidRPr="00C47559">
        <w:rPr>
          <w:rFonts w:cstheme="minorHAnsi"/>
          <w:spacing w:val="3"/>
          <w:sz w:val="22"/>
          <w:szCs w:val="22"/>
          <w:shd w:val="clear" w:color="auto" w:fill="FFFFFF"/>
        </w:rPr>
        <w:t xml:space="preserve">, Monza, </w:t>
      </w:r>
      <w:proofErr w:type="spellStart"/>
      <w:r w:rsidRPr="00C47559">
        <w:rPr>
          <w:rFonts w:cstheme="minorHAnsi"/>
          <w:spacing w:val="3"/>
          <w:sz w:val="22"/>
          <w:szCs w:val="22"/>
          <w:shd w:val="clear" w:color="auto" w:fill="FFFFFF"/>
        </w:rPr>
        <w:t>Italy</w:t>
      </w:r>
      <w:proofErr w:type="spellEnd"/>
      <w:r w:rsidR="002711EA">
        <w:rPr>
          <w:rFonts w:cstheme="minorHAnsi"/>
          <w:spacing w:val="3"/>
          <w:sz w:val="22"/>
          <w:szCs w:val="22"/>
          <w:shd w:val="clear" w:color="auto" w:fill="FFFFFF"/>
        </w:rPr>
        <w:t xml:space="preserve"> </w:t>
      </w:r>
      <w:r w:rsidRPr="002711EA">
        <w:rPr>
          <w:rFonts w:cstheme="minorHAnsi"/>
          <w:sz w:val="22"/>
          <w:szCs w:val="22"/>
          <w:vertAlign w:val="superscript"/>
        </w:rPr>
        <w:t>2</w:t>
      </w:r>
      <w:r w:rsidRPr="002711EA">
        <w:rPr>
          <w:rFonts w:cstheme="minorHAnsi"/>
          <w:sz w:val="22"/>
          <w:szCs w:val="22"/>
        </w:rPr>
        <w:t xml:space="preserve">Mechanisms of </w:t>
      </w:r>
      <w:proofErr w:type="spellStart"/>
      <w:r w:rsidRPr="002711EA">
        <w:rPr>
          <w:rFonts w:cstheme="minorHAnsi"/>
          <w:sz w:val="22"/>
          <w:szCs w:val="22"/>
        </w:rPr>
        <w:t>Peripheral</w:t>
      </w:r>
      <w:proofErr w:type="spellEnd"/>
      <w:r w:rsidRPr="002711EA">
        <w:rPr>
          <w:rFonts w:cstheme="minorHAnsi"/>
          <w:sz w:val="22"/>
          <w:szCs w:val="22"/>
        </w:rPr>
        <w:t xml:space="preserve"> </w:t>
      </w:r>
      <w:proofErr w:type="spellStart"/>
      <w:r w:rsidRPr="002711EA">
        <w:rPr>
          <w:rFonts w:cstheme="minorHAnsi"/>
          <w:sz w:val="22"/>
          <w:szCs w:val="22"/>
        </w:rPr>
        <w:t>Tolerance</w:t>
      </w:r>
      <w:proofErr w:type="spellEnd"/>
      <w:r w:rsidRPr="002711EA">
        <w:rPr>
          <w:rFonts w:cstheme="minorHAnsi"/>
          <w:sz w:val="22"/>
          <w:szCs w:val="22"/>
        </w:rPr>
        <w:t xml:space="preserve"> Unit, San Raffaele Telethon Institute for Gene </w:t>
      </w:r>
      <w:proofErr w:type="spellStart"/>
      <w:r w:rsidRPr="002711EA">
        <w:rPr>
          <w:rFonts w:cstheme="minorHAnsi"/>
          <w:sz w:val="22"/>
          <w:szCs w:val="22"/>
        </w:rPr>
        <w:t>Therapy</w:t>
      </w:r>
      <w:proofErr w:type="spellEnd"/>
      <w:r w:rsidRPr="002711EA">
        <w:rPr>
          <w:rFonts w:cstheme="minorHAnsi"/>
          <w:sz w:val="22"/>
          <w:szCs w:val="22"/>
        </w:rPr>
        <w:t xml:space="preserve"> (SR-</w:t>
      </w:r>
      <w:proofErr w:type="spellStart"/>
      <w:r w:rsidRPr="002711EA">
        <w:rPr>
          <w:rFonts w:cstheme="minorHAnsi"/>
          <w:sz w:val="22"/>
          <w:szCs w:val="22"/>
        </w:rPr>
        <w:t>Tiget</w:t>
      </w:r>
      <w:proofErr w:type="spellEnd"/>
      <w:r w:rsidRPr="002711EA">
        <w:rPr>
          <w:rFonts w:cstheme="minorHAnsi"/>
          <w:sz w:val="22"/>
          <w:szCs w:val="22"/>
        </w:rPr>
        <w:t xml:space="preserve">), IRCCS San Raffaele </w:t>
      </w:r>
      <w:proofErr w:type="spellStart"/>
      <w:r w:rsidRPr="002711EA">
        <w:rPr>
          <w:rFonts w:cstheme="minorHAnsi"/>
          <w:sz w:val="22"/>
          <w:szCs w:val="22"/>
        </w:rPr>
        <w:t>Scientific</w:t>
      </w:r>
      <w:proofErr w:type="spellEnd"/>
      <w:r w:rsidRPr="002711EA">
        <w:rPr>
          <w:rFonts w:cstheme="minorHAnsi"/>
          <w:sz w:val="22"/>
          <w:szCs w:val="22"/>
        </w:rPr>
        <w:t xml:space="preserve"> </w:t>
      </w:r>
      <w:proofErr w:type="spellStart"/>
      <w:r w:rsidRPr="002711EA">
        <w:rPr>
          <w:rFonts w:cstheme="minorHAnsi"/>
          <w:sz w:val="22"/>
          <w:szCs w:val="22"/>
        </w:rPr>
        <w:t>Institute</w:t>
      </w:r>
      <w:proofErr w:type="spellEnd"/>
      <w:r w:rsidRPr="002711EA">
        <w:rPr>
          <w:rFonts w:cstheme="minorHAnsi"/>
          <w:sz w:val="22"/>
          <w:szCs w:val="22"/>
        </w:rPr>
        <w:t xml:space="preserve">, Milan, </w:t>
      </w:r>
      <w:proofErr w:type="spellStart"/>
      <w:r w:rsidRPr="002711EA">
        <w:rPr>
          <w:rFonts w:cstheme="minorHAnsi"/>
          <w:sz w:val="22"/>
          <w:szCs w:val="22"/>
        </w:rPr>
        <w:t>Italy</w:t>
      </w:r>
      <w:bookmarkStart w:id="2" w:name="_Hlk171417237"/>
      <w:proofErr w:type="spellEnd"/>
      <w:r w:rsidR="002711EA">
        <w:rPr>
          <w:rFonts w:cstheme="minorHAnsi"/>
          <w:spacing w:val="3"/>
          <w:sz w:val="22"/>
          <w:szCs w:val="22"/>
          <w:shd w:val="clear" w:color="auto" w:fill="FFFFFF"/>
        </w:rPr>
        <w:t xml:space="preserve"> </w:t>
      </w:r>
      <w:r w:rsidRPr="002711EA">
        <w:rPr>
          <w:rFonts w:cstheme="minorHAnsi"/>
          <w:sz w:val="22"/>
          <w:szCs w:val="22"/>
          <w:shd w:val="clear" w:color="auto" w:fill="FFFFFF"/>
          <w:vertAlign w:val="superscript"/>
        </w:rPr>
        <w:t>3</w:t>
      </w:r>
      <w:r w:rsidRPr="002711EA">
        <w:rPr>
          <w:rFonts w:cstheme="minorHAnsi"/>
          <w:sz w:val="22"/>
          <w:szCs w:val="22"/>
          <w:shd w:val="clear" w:color="auto" w:fill="FFFFFF"/>
        </w:rPr>
        <w:t xml:space="preserve">Department of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Rheumatology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 xml:space="preserve">, ASST-Gaetano Pini-CTO, Department of Clinical Sciences and Community Health, University of Milan, Milan,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Italy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>.</w:t>
      </w:r>
      <w:bookmarkEnd w:id="2"/>
      <w:r w:rsidR="002711EA">
        <w:rPr>
          <w:rFonts w:cstheme="minorHAnsi"/>
          <w:spacing w:val="3"/>
          <w:sz w:val="22"/>
          <w:szCs w:val="22"/>
          <w:shd w:val="clear" w:color="auto" w:fill="FFFFFF"/>
        </w:rPr>
        <w:t xml:space="preserve"> </w:t>
      </w:r>
      <w:r w:rsidRPr="002711EA">
        <w:rPr>
          <w:rFonts w:cstheme="minorHAnsi"/>
          <w:sz w:val="22"/>
          <w:szCs w:val="22"/>
          <w:shd w:val="clear" w:color="auto" w:fill="FFFFFF"/>
          <w:vertAlign w:val="superscript"/>
        </w:rPr>
        <w:t>4</w:t>
      </w:r>
      <w:r w:rsidRPr="002711EA">
        <w:rPr>
          <w:rFonts w:cstheme="minorHAnsi"/>
          <w:sz w:val="22"/>
          <w:szCs w:val="22"/>
          <w:shd w:val="clear" w:color="auto" w:fill="FFFFFF"/>
        </w:rPr>
        <w:t xml:space="preserve">Diabetes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Research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Institute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 xml:space="preserve">, IRCCS San Raffaele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Scientific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Institute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 xml:space="preserve">, Milan,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Italy</w:t>
      </w:r>
      <w:proofErr w:type="spellEnd"/>
      <w:r w:rsidR="002711EA">
        <w:rPr>
          <w:rFonts w:cstheme="minorHAnsi"/>
          <w:spacing w:val="3"/>
          <w:sz w:val="22"/>
          <w:szCs w:val="22"/>
          <w:shd w:val="clear" w:color="auto" w:fill="FFFFFF"/>
        </w:rPr>
        <w:t xml:space="preserve"> </w:t>
      </w:r>
      <w:r w:rsidRPr="00C47559">
        <w:rPr>
          <w:rFonts w:eastAsia="Times New Roman" w:cstheme="minorHAnsi"/>
          <w:sz w:val="22"/>
          <w:szCs w:val="22"/>
          <w:vertAlign w:val="superscript"/>
          <w:lang w:eastAsia="it-IT"/>
        </w:rPr>
        <w:t>5</w:t>
      </w:r>
      <w:r w:rsidRPr="006D66CA">
        <w:rPr>
          <w:rFonts w:eastAsia="Times New Roman" w:cstheme="minorHAnsi"/>
          <w:sz w:val="22"/>
          <w:szCs w:val="22"/>
          <w:lang w:eastAsia="it-IT"/>
        </w:rPr>
        <w:t>Dipartimento di Medicina Interna ad indirizzo Endocrino Metabolico, IRCCS Ospedale San Raffaele, Milano</w:t>
      </w:r>
      <w:r w:rsidRPr="00C47559">
        <w:rPr>
          <w:rFonts w:eastAsia="Times New Roman" w:cstheme="minorHAnsi"/>
          <w:sz w:val="22"/>
          <w:szCs w:val="22"/>
          <w:lang w:eastAsia="it-IT"/>
        </w:rPr>
        <w:t xml:space="preserve">, </w:t>
      </w:r>
      <w:proofErr w:type="spellStart"/>
      <w:r w:rsidRPr="00C47559">
        <w:rPr>
          <w:rFonts w:eastAsia="Times New Roman" w:cstheme="minorHAnsi"/>
          <w:sz w:val="22"/>
          <w:szCs w:val="22"/>
          <w:lang w:eastAsia="it-IT"/>
        </w:rPr>
        <w:t>Italy</w:t>
      </w:r>
      <w:proofErr w:type="spellEnd"/>
      <w:r w:rsidR="002711EA">
        <w:rPr>
          <w:rFonts w:cstheme="minorHAnsi"/>
          <w:spacing w:val="3"/>
          <w:sz w:val="22"/>
          <w:szCs w:val="22"/>
          <w:shd w:val="clear" w:color="auto" w:fill="FFFFFF"/>
        </w:rPr>
        <w:t xml:space="preserve"> </w:t>
      </w:r>
      <w:r w:rsidRPr="002711EA">
        <w:rPr>
          <w:rFonts w:cstheme="minorHAnsi"/>
          <w:sz w:val="22"/>
          <w:szCs w:val="22"/>
          <w:shd w:val="clear" w:color="auto" w:fill="FFFFFF"/>
          <w:vertAlign w:val="superscript"/>
        </w:rPr>
        <w:t xml:space="preserve">6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Department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 xml:space="preserve"> of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Pediatrics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 xml:space="preserve">, Tettamanti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Research</w:t>
      </w:r>
      <w:proofErr w:type="spellEnd"/>
      <w:r w:rsidRPr="002711EA">
        <w:rPr>
          <w:rFonts w:cstheme="minorHAnsi"/>
          <w:sz w:val="22"/>
          <w:szCs w:val="22"/>
          <w:shd w:val="clear" w:color="auto" w:fill="FFFFFF"/>
        </w:rPr>
        <w:t xml:space="preserve"> Center, Fondazione MBBM/San Gerardo Hospital, University of Milano-Bicocca, Monza, </w:t>
      </w:r>
      <w:proofErr w:type="spellStart"/>
      <w:r w:rsidRPr="002711EA">
        <w:rPr>
          <w:rFonts w:cstheme="minorHAnsi"/>
          <w:sz w:val="22"/>
          <w:szCs w:val="22"/>
          <w:shd w:val="clear" w:color="auto" w:fill="FFFFFF"/>
        </w:rPr>
        <w:t>Italy</w:t>
      </w:r>
      <w:proofErr w:type="spellEnd"/>
    </w:p>
    <w:p w14:paraId="05D23BDA" w14:textId="77777777" w:rsidR="00DC5A49" w:rsidRPr="002711EA" w:rsidRDefault="00DC5A49" w:rsidP="00410C14">
      <w:pPr>
        <w:spacing w:line="276" w:lineRule="auto"/>
        <w:jc w:val="both"/>
        <w:rPr>
          <w:rFonts w:cstheme="minorHAnsi"/>
          <w:sz w:val="22"/>
          <w:szCs w:val="22"/>
        </w:rPr>
      </w:pPr>
    </w:p>
    <w:bookmarkEnd w:id="0"/>
    <w:p w14:paraId="10DD457F" w14:textId="067318A0" w:rsidR="003C5D08" w:rsidRPr="003C5D08" w:rsidRDefault="00A17729" w:rsidP="00A17729">
      <w:pPr>
        <w:spacing w:line="276" w:lineRule="auto"/>
        <w:jc w:val="both"/>
        <w:rPr>
          <w:rFonts w:cstheme="minorHAnsi"/>
          <w:sz w:val="22"/>
          <w:szCs w:val="22"/>
          <w:lang w:val="en-US"/>
        </w:rPr>
      </w:pPr>
      <w:r w:rsidRPr="006D66CA">
        <w:rPr>
          <w:rFonts w:cstheme="minorHAnsi"/>
          <w:sz w:val="22"/>
          <w:szCs w:val="22"/>
          <w:lang w:val="en-US"/>
        </w:rPr>
        <w:t>Interleukin</w:t>
      </w:r>
      <w:r w:rsidR="003C5D08">
        <w:rPr>
          <w:rFonts w:cstheme="minorHAnsi"/>
          <w:sz w:val="22"/>
          <w:szCs w:val="22"/>
          <w:lang w:val="en-US"/>
        </w:rPr>
        <w:t xml:space="preserve"> </w:t>
      </w:r>
      <w:r w:rsidRPr="006D66CA">
        <w:rPr>
          <w:rFonts w:cstheme="minorHAnsi"/>
          <w:sz w:val="22"/>
          <w:szCs w:val="22"/>
          <w:lang w:val="en-US"/>
        </w:rPr>
        <w:t xml:space="preserve">10 (IL-10) is an anti-inflammatory cytokine playing an important role in </w:t>
      </w:r>
      <w:r w:rsidR="002711EA">
        <w:rPr>
          <w:rFonts w:cstheme="minorHAnsi"/>
          <w:sz w:val="22"/>
          <w:szCs w:val="22"/>
          <w:lang w:val="en-US"/>
        </w:rPr>
        <w:t xml:space="preserve">promoting </w:t>
      </w:r>
      <w:r w:rsidRPr="006D66CA">
        <w:rPr>
          <w:rFonts w:cstheme="minorHAnsi"/>
          <w:sz w:val="22"/>
          <w:szCs w:val="22"/>
          <w:lang w:val="en-US"/>
        </w:rPr>
        <w:t>peripheral tolerance. IL-10 modulation of human monocytes during dendritic cell (DC) differentiation promotes the induction of a subset of tolerogenic DC, known as DC-10. We recently reported that monocytes from multiple sclerosis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6D66CA">
        <w:rPr>
          <w:rFonts w:cstheme="minorHAnsi"/>
          <w:sz w:val="22"/>
          <w:szCs w:val="22"/>
          <w:lang w:val="en-US"/>
        </w:rPr>
        <w:t>patients are less effective tha</w:t>
      </w:r>
      <w:r>
        <w:rPr>
          <w:rFonts w:cstheme="minorHAnsi"/>
          <w:sz w:val="22"/>
          <w:szCs w:val="22"/>
          <w:lang w:val="en-US"/>
        </w:rPr>
        <w:t>n</w:t>
      </w:r>
      <w:r w:rsidRPr="006D66CA">
        <w:rPr>
          <w:rFonts w:cstheme="minorHAnsi"/>
          <w:sz w:val="22"/>
          <w:szCs w:val="22"/>
          <w:lang w:val="en-US"/>
        </w:rPr>
        <w:t xml:space="preserve"> those isolated from healthy controls (HC) </w:t>
      </w:r>
      <w:r>
        <w:rPr>
          <w:rFonts w:cstheme="minorHAnsi"/>
          <w:sz w:val="22"/>
          <w:szCs w:val="22"/>
          <w:lang w:val="en-US"/>
        </w:rPr>
        <w:t>in</w:t>
      </w:r>
      <w:r w:rsidRPr="006D66CA">
        <w:rPr>
          <w:rFonts w:cstheme="minorHAnsi"/>
          <w:sz w:val="22"/>
          <w:szCs w:val="22"/>
          <w:lang w:val="en-US"/>
        </w:rPr>
        <w:t xml:space="preserve"> differentiat</w:t>
      </w:r>
      <w:r>
        <w:rPr>
          <w:rFonts w:cstheme="minorHAnsi"/>
          <w:sz w:val="22"/>
          <w:szCs w:val="22"/>
          <w:lang w:val="en-US"/>
        </w:rPr>
        <w:t>ing</w:t>
      </w:r>
      <w:r w:rsidRPr="006D66CA">
        <w:rPr>
          <w:rFonts w:cstheme="minorHAnsi"/>
          <w:sz w:val="22"/>
          <w:szCs w:val="22"/>
          <w:lang w:val="en-US"/>
        </w:rPr>
        <w:t xml:space="preserve"> into functional DC-10. </w:t>
      </w:r>
      <w:r w:rsidRPr="006D66CA">
        <w:rPr>
          <w:rFonts w:cstheme="minorHAnsi"/>
          <w:color w:val="000000" w:themeColor="text1"/>
          <w:sz w:val="22"/>
          <w:szCs w:val="22"/>
          <w:lang w:val="en-US"/>
        </w:rPr>
        <w:t xml:space="preserve">This defect might be ascribed to intrinsic or extrinsic </w:t>
      </w:r>
      <w:r w:rsidR="004E42E5">
        <w:rPr>
          <w:rFonts w:cstheme="minorHAnsi"/>
          <w:color w:val="000000" w:themeColor="text1"/>
          <w:sz w:val="22"/>
          <w:szCs w:val="22"/>
          <w:lang w:val="en-US"/>
        </w:rPr>
        <w:t xml:space="preserve">characteristics </w:t>
      </w:r>
      <w:r w:rsidRPr="006D66CA">
        <w:rPr>
          <w:rFonts w:cstheme="minorHAnsi"/>
          <w:color w:val="000000" w:themeColor="text1"/>
          <w:sz w:val="22"/>
          <w:szCs w:val="22"/>
          <w:lang w:val="en-US"/>
        </w:rPr>
        <w:t>of monocytes from autoimmune patients. To understand whether monocytes and DC-10 differentiation are affected across different autoimmune diseases</w:t>
      </w:r>
      <w:r w:rsidRPr="006D66CA">
        <w:rPr>
          <w:rFonts w:cstheme="minorHAnsi"/>
          <w:sz w:val="22"/>
          <w:szCs w:val="22"/>
          <w:lang w:val="en-US"/>
        </w:rPr>
        <w:t xml:space="preserve">, we </w:t>
      </w:r>
      <w:r w:rsidR="003C5D08">
        <w:rPr>
          <w:rFonts w:cstheme="minorHAnsi"/>
          <w:sz w:val="22"/>
          <w:szCs w:val="22"/>
          <w:lang w:val="en-US"/>
        </w:rPr>
        <w:t>isolated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monocytes from </w:t>
      </w:r>
      <w:r>
        <w:rPr>
          <w:rFonts w:eastAsia="Calibri" w:cstheme="minorHAnsi"/>
          <w:color w:val="000000" w:themeColor="text1"/>
          <w:sz w:val="22"/>
          <w:szCs w:val="22"/>
          <w:lang w:val="en-US"/>
        </w:rPr>
        <w:t>t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ype 1 </w:t>
      </w:r>
      <w:r>
        <w:rPr>
          <w:rFonts w:eastAsia="Calibri" w:cstheme="minorHAnsi"/>
          <w:color w:val="000000" w:themeColor="text1"/>
          <w:sz w:val="22"/>
          <w:szCs w:val="22"/>
          <w:lang w:val="en-US"/>
        </w:rPr>
        <w:t>d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>iabetes (T1D) and r</w:t>
      </w:r>
      <w:r>
        <w:rPr>
          <w:rFonts w:eastAsia="Calibri" w:cstheme="minorHAnsi"/>
          <w:color w:val="000000" w:themeColor="text1"/>
          <w:sz w:val="22"/>
          <w:szCs w:val="22"/>
          <w:lang w:val="en-US"/>
        </w:rPr>
        <w:t>h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>eumatoid arthritis (RA) patients</w:t>
      </w:r>
      <w:r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 </w:t>
      </w:r>
      <w:r w:rsidR="003C5D08">
        <w:rPr>
          <w:rFonts w:eastAsia="Calibri" w:cstheme="minorHAnsi"/>
          <w:color w:val="000000" w:themeColor="text1"/>
          <w:sz w:val="22"/>
          <w:szCs w:val="22"/>
          <w:lang w:val="en-US"/>
        </w:rPr>
        <w:t>and</w:t>
      </w:r>
      <w:r w:rsidR="002711EA">
        <w:rPr>
          <w:rFonts w:eastAsia="Calibri" w:cstheme="minorHAnsi"/>
          <w:color w:val="000000" w:themeColor="text1"/>
          <w:sz w:val="22"/>
          <w:szCs w:val="22"/>
          <w:lang w:val="en-US"/>
        </w:rPr>
        <w:t>,</w:t>
      </w:r>
      <w:r w:rsidRPr="006D66CA">
        <w:rPr>
          <w:rFonts w:cstheme="minorHAnsi"/>
          <w:sz w:val="22"/>
          <w:szCs w:val="22"/>
          <w:lang w:val="en-US"/>
        </w:rPr>
        <w:t xml:space="preserve"> </w:t>
      </w:r>
      <w:r w:rsidR="002711EA">
        <w:rPr>
          <w:rFonts w:cstheme="minorHAnsi"/>
          <w:sz w:val="22"/>
          <w:szCs w:val="22"/>
          <w:lang w:val="en-US"/>
        </w:rPr>
        <w:t xml:space="preserve">as control, </w:t>
      </w:r>
      <w:r w:rsidRPr="006D66CA">
        <w:rPr>
          <w:rFonts w:cstheme="minorHAnsi"/>
          <w:sz w:val="22"/>
          <w:szCs w:val="22"/>
          <w:lang w:val="en-US"/>
        </w:rPr>
        <w:t>from HC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 </w:t>
      </w:r>
      <w:r w:rsidR="003C5D08">
        <w:rPr>
          <w:rFonts w:eastAsia="Calibri" w:cstheme="minorHAnsi"/>
          <w:color w:val="000000" w:themeColor="text1"/>
          <w:sz w:val="22"/>
          <w:szCs w:val="22"/>
          <w:lang w:val="en-US"/>
        </w:rPr>
        <w:t>to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 </w:t>
      </w:r>
      <w:r>
        <w:rPr>
          <w:rFonts w:eastAsia="Calibri" w:cstheme="minorHAnsi"/>
          <w:color w:val="000000" w:themeColor="text1"/>
          <w:sz w:val="22"/>
          <w:szCs w:val="22"/>
          <w:lang w:val="en-US"/>
        </w:rPr>
        <w:t>evaluat</w:t>
      </w:r>
      <w:r w:rsidR="003C5D08"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e 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their ability to respond to </w:t>
      </w:r>
      <w:r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LPS and 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>IL-10 and to differentiate</w:t>
      </w:r>
      <w:r>
        <w:rPr>
          <w:rFonts w:eastAsia="Calibri" w:cstheme="minorHAnsi"/>
          <w:color w:val="000000" w:themeColor="text1"/>
          <w:sz w:val="22"/>
          <w:szCs w:val="22"/>
          <w:lang w:val="en-US"/>
        </w:rPr>
        <w:t xml:space="preserve"> </w:t>
      </w:r>
      <w:r w:rsidRPr="006D66CA">
        <w:rPr>
          <w:rFonts w:eastAsia="Calibri" w:cstheme="minorHAnsi"/>
          <w:color w:val="000000" w:themeColor="text1"/>
          <w:sz w:val="22"/>
          <w:szCs w:val="22"/>
          <w:lang w:val="en-US"/>
        </w:rPr>
        <w:t>into DC-10</w:t>
      </w:r>
      <w:r w:rsidRPr="006D66CA">
        <w:rPr>
          <w:rFonts w:cstheme="minorHAnsi"/>
          <w:sz w:val="22"/>
          <w:szCs w:val="22"/>
          <w:lang w:val="en-US"/>
        </w:rPr>
        <w:t>. Upon stimulation with LPS, T1D</w:t>
      </w:r>
      <w:r>
        <w:rPr>
          <w:rFonts w:cstheme="minorHAnsi"/>
          <w:sz w:val="22"/>
          <w:szCs w:val="22"/>
          <w:lang w:val="en-US"/>
        </w:rPr>
        <w:t xml:space="preserve"> and </w:t>
      </w:r>
      <w:r w:rsidRPr="006D66CA">
        <w:rPr>
          <w:rFonts w:cstheme="minorHAnsi"/>
          <w:sz w:val="22"/>
          <w:szCs w:val="22"/>
          <w:lang w:val="en-US"/>
        </w:rPr>
        <w:t>RA monocytes exhibited a significant higher ability to secrete pro-inflammatory cytokines (TNF</w:t>
      </w:r>
      <w:r w:rsidRPr="006D66CA">
        <w:rPr>
          <w:rFonts w:cstheme="minorHAnsi"/>
          <w:sz w:val="22"/>
          <w:szCs w:val="22"/>
          <w:lang w:val="en-US"/>
        </w:rPr>
        <w:sym w:font="Symbol" w:char="F061"/>
      </w:r>
      <w:r w:rsidRPr="006D66CA">
        <w:rPr>
          <w:rFonts w:cstheme="minorHAnsi"/>
          <w:sz w:val="22"/>
          <w:szCs w:val="22"/>
          <w:lang w:val="en-US"/>
        </w:rPr>
        <w:t xml:space="preserve"> and IL-6)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6F4FA3">
        <w:rPr>
          <w:rFonts w:cstheme="minorHAnsi"/>
          <w:sz w:val="22"/>
          <w:szCs w:val="22"/>
          <w:lang w:val="en-US"/>
        </w:rPr>
        <w:t>compared to</w:t>
      </w:r>
      <w:r w:rsidR="002711EA">
        <w:rPr>
          <w:rFonts w:cstheme="minorHAnsi"/>
          <w:sz w:val="22"/>
          <w:szCs w:val="22"/>
          <w:lang w:val="en-US"/>
        </w:rPr>
        <w:t xml:space="preserve"> those of</w:t>
      </w:r>
      <w:r w:rsidRPr="006F4FA3">
        <w:rPr>
          <w:rFonts w:cstheme="minorHAnsi"/>
          <w:sz w:val="22"/>
          <w:szCs w:val="22"/>
          <w:lang w:val="en-US"/>
        </w:rPr>
        <w:t xml:space="preserve"> HC</w:t>
      </w:r>
      <w:r w:rsidRPr="006D66CA">
        <w:rPr>
          <w:rFonts w:cstheme="minorHAnsi"/>
          <w:sz w:val="22"/>
          <w:szCs w:val="22"/>
          <w:lang w:val="en-US"/>
        </w:rPr>
        <w:t xml:space="preserve">. Despite variability among patients, addition of IL-10 during the first hours of LPS stimulation </w:t>
      </w:r>
      <w:r w:rsidR="004E42E5">
        <w:rPr>
          <w:rFonts w:cstheme="minorHAnsi"/>
          <w:sz w:val="22"/>
          <w:szCs w:val="22"/>
          <w:lang w:val="en-US"/>
        </w:rPr>
        <w:t xml:space="preserve">only </w:t>
      </w:r>
      <w:r>
        <w:rPr>
          <w:rFonts w:cstheme="minorHAnsi"/>
          <w:sz w:val="22"/>
          <w:szCs w:val="22"/>
          <w:lang w:val="en-US"/>
        </w:rPr>
        <w:t>partially</w:t>
      </w:r>
      <w:r w:rsidRPr="006D66CA">
        <w:rPr>
          <w:rFonts w:cstheme="minorHAnsi"/>
          <w:sz w:val="22"/>
          <w:szCs w:val="22"/>
          <w:lang w:val="en-US"/>
        </w:rPr>
        <w:t xml:space="preserve"> modulate TNF</w:t>
      </w:r>
      <w:r w:rsidRPr="006D66CA">
        <w:rPr>
          <w:rFonts w:cstheme="minorHAnsi"/>
          <w:sz w:val="22"/>
          <w:szCs w:val="22"/>
          <w:lang w:val="en-US"/>
        </w:rPr>
        <w:sym w:font="Symbol" w:char="F061"/>
      </w:r>
      <w:r w:rsidRPr="006D66CA">
        <w:rPr>
          <w:rFonts w:cstheme="minorHAnsi"/>
          <w:sz w:val="22"/>
          <w:szCs w:val="22"/>
          <w:lang w:val="en-US"/>
        </w:rPr>
        <w:t xml:space="preserve"> production by monocytes. Preliminary data also showed that T1D monocytes produced higher amount of IL-1</w:t>
      </w:r>
      <w:r w:rsidRPr="006D66CA">
        <w:rPr>
          <w:rFonts w:cstheme="minorHAnsi"/>
          <w:sz w:val="22"/>
          <w:szCs w:val="22"/>
          <w:lang w:val="en-US"/>
        </w:rPr>
        <w:sym w:font="Symbol" w:char="F062"/>
      </w:r>
      <w:r w:rsidRPr="006D66CA">
        <w:rPr>
          <w:rFonts w:cstheme="minorHAnsi"/>
          <w:sz w:val="22"/>
          <w:szCs w:val="22"/>
          <w:lang w:val="en-US"/>
        </w:rPr>
        <w:t xml:space="preserve"> compared to HC</w:t>
      </w:r>
      <w:r>
        <w:rPr>
          <w:rFonts w:cstheme="minorHAnsi"/>
          <w:sz w:val="22"/>
          <w:szCs w:val="22"/>
          <w:lang w:val="en-US"/>
        </w:rPr>
        <w:t xml:space="preserve"> monocytes</w:t>
      </w:r>
      <w:r w:rsidRPr="006D66CA">
        <w:rPr>
          <w:rFonts w:cstheme="minorHAnsi"/>
          <w:sz w:val="22"/>
          <w:szCs w:val="22"/>
          <w:lang w:val="en-US"/>
        </w:rPr>
        <w:t xml:space="preserve"> upon NLRP3 inflammasome activation, which was </w:t>
      </w:r>
      <w:r>
        <w:rPr>
          <w:rFonts w:cstheme="minorHAnsi"/>
          <w:sz w:val="22"/>
          <w:szCs w:val="22"/>
          <w:lang w:val="en-US"/>
        </w:rPr>
        <w:t xml:space="preserve">only </w:t>
      </w:r>
      <w:r w:rsidRPr="006D66CA">
        <w:rPr>
          <w:rFonts w:cstheme="minorHAnsi"/>
          <w:sz w:val="22"/>
          <w:szCs w:val="22"/>
          <w:lang w:val="en-US"/>
        </w:rPr>
        <w:t xml:space="preserve">partially inhibited by IL-10. </w:t>
      </w:r>
      <w:r>
        <w:rPr>
          <w:rFonts w:cstheme="minorHAnsi"/>
          <w:sz w:val="22"/>
          <w:szCs w:val="22"/>
          <w:lang w:val="en-US"/>
        </w:rPr>
        <w:t xml:space="preserve">Finally, </w:t>
      </w:r>
      <w:r w:rsidRPr="006D66CA">
        <w:rPr>
          <w:rFonts w:cstheme="minorHAnsi"/>
          <w:sz w:val="22"/>
          <w:szCs w:val="22"/>
          <w:lang w:val="en-US"/>
        </w:rPr>
        <w:t xml:space="preserve">DC-10 differentiated from </w:t>
      </w:r>
      <w:r w:rsidR="00FC2440" w:rsidRPr="006D66CA">
        <w:rPr>
          <w:rFonts w:cstheme="minorHAnsi"/>
          <w:sz w:val="22"/>
          <w:szCs w:val="22"/>
          <w:lang w:val="en-US"/>
        </w:rPr>
        <w:t>patients’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6D66CA">
        <w:rPr>
          <w:rFonts w:cstheme="minorHAnsi"/>
          <w:sz w:val="22"/>
          <w:szCs w:val="22"/>
          <w:lang w:val="en-US"/>
        </w:rPr>
        <w:t>monocytes were effective in inhibiting proliferation of allogeneic T cells and promoted Tr1 cell differentiation at levels comparable to those generated by DC-10 differentiated from HC</w:t>
      </w:r>
      <w:r>
        <w:rPr>
          <w:rFonts w:cstheme="minorHAnsi"/>
          <w:sz w:val="22"/>
          <w:szCs w:val="22"/>
          <w:lang w:val="en-US"/>
        </w:rPr>
        <w:t xml:space="preserve">. Nonetheless, the </w:t>
      </w:r>
      <w:r w:rsidRPr="006D66CA">
        <w:rPr>
          <w:rFonts w:cstheme="minorHAnsi"/>
          <w:sz w:val="22"/>
          <w:szCs w:val="22"/>
          <w:lang w:val="en-US"/>
        </w:rPr>
        <w:t xml:space="preserve">resulting Tr1 cells </w:t>
      </w:r>
      <w:r w:rsidR="004E42E5">
        <w:rPr>
          <w:rFonts w:cstheme="minorHAnsi"/>
          <w:sz w:val="22"/>
          <w:szCs w:val="22"/>
          <w:lang w:val="en-US"/>
        </w:rPr>
        <w:t>are less anergic</w:t>
      </w:r>
      <w:r w:rsidRPr="006D66CA">
        <w:rPr>
          <w:rFonts w:cstheme="minorHAnsi"/>
          <w:sz w:val="22"/>
          <w:szCs w:val="22"/>
          <w:lang w:val="en-US"/>
        </w:rPr>
        <w:t xml:space="preserve">. These preliminary data indicate that monocytes from </w:t>
      </w:r>
      <w:r>
        <w:rPr>
          <w:rFonts w:cstheme="minorHAnsi"/>
          <w:sz w:val="22"/>
          <w:szCs w:val="22"/>
          <w:lang w:val="en-US"/>
        </w:rPr>
        <w:t>autoimmune</w:t>
      </w:r>
      <w:r w:rsidRPr="006D66CA">
        <w:rPr>
          <w:rFonts w:cstheme="minorHAnsi"/>
          <w:sz w:val="22"/>
          <w:szCs w:val="22"/>
          <w:lang w:val="en-US"/>
        </w:rPr>
        <w:t xml:space="preserve"> patients secrete high amounts of pro-inflammatory cytokines upon inflammatory stimuli and might be refractory to IL-10 modulation</w:t>
      </w:r>
      <w:r w:rsidR="004E42E5">
        <w:rPr>
          <w:rFonts w:cstheme="minorHAnsi"/>
          <w:sz w:val="22"/>
          <w:szCs w:val="22"/>
          <w:lang w:val="en-US"/>
        </w:rPr>
        <w:t xml:space="preserve">. </w:t>
      </w:r>
      <w:r w:rsidRPr="006D66CA">
        <w:rPr>
          <w:rFonts w:cstheme="minorHAnsi"/>
          <w:sz w:val="22"/>
          <w:szCs w:val="22"/>
          <w:lang w:val="en-US"/>
        </w:rPr>
        <w:t xml:space="preserve">Further phenotypic, functional and transcriptomics analysis will be performed to highlight </w:t>
      </w:r>
      <w:r>
        <w:rPr>
          <w:rFonts w:cstheme="minorHAnsi"/>
          <w:sz w:val="22"/>
          <w:szCs w:val="22"/>
          <w:lang w:val="en-US"/>
        </w:rPr>
        <w:t xml:space="preserve">possible </w:t>
      </w:r>
      <w:r w:rsidRPr="006D66CA">
        <w:rPr>
          <w:rFonts w:cstheme="minorHAnsi"/>
          <w:sz w:val="22"/>
          <w:szCs w:val="22"/>
          <w:lang w:val="en-US"/>
        </w:rPr>
        <w:t>common dysregulated features of monocytes</w:t>
      </w:r>
      <w:r>
        <w:rPr>
          <w:rFonts w:cstheme="minorHAnsi"/>
          <w:sz w:val="22"/>
          <w:szCs w:val="22"/>
          <w:lang w:val="en-US"/>
        </w:rPr>
        <w:t xml:space="preserve"> from autoimmune patients</w:t>
      </w:r>
      <w:r w:rsidRPr="006D66CA">
        <w:rPr>
          <w:rFonts w:cstheme="minorHAnsi"/>
          <w:sz w:val="22"/>
          <w:szCs w:val="22"/>
          <w:lang w:val="en-US"/>
        </w:rPr>
        <w:t>.</w:t>
      </w:r>
    </w:p>
    <w:sectPr w:rsidR="003C5D08" w:rsidRPr="003C5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A49"/>
    <w:rsid w:val="00053DB1"/>
    <w:rsid w:val="00190FC8"/>
    <w:rsid w:val="001C6F65"/>
    <w:rsid w:val="002711EA"/>
    <w:rsid w:val="00326252"/>
    <w:rsid w:val="00351355"/>
    <w:rsid w:val="003C5D08"/>
    <w:rsid w:val="00410C14"/>
    <w:rsid w:val="004E42E5"/>
    <w:rsid w:val="00503116"/>
    <w:rsid w:val="00785ADC"/>
    <w:rsid w:val="007F1DF0"/>
    <w:rsid w:val="00A17729"/>
    <w:rsid w:val="00AE5C2C"/>
    <w:rsid w:val="00B26DC1"/>
    <w:rsid w:val="00C943AD"/>
    <w:rsid w:val="00DA51C1"/>
    <w:rsid w:val="00DC5A49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FEEB33"/>
  <w15:chartTrackingRefBased/>
  <w15:docId w15:val="{1F70393C-43BF-A846-810B-2CABC3D9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A49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giacomello.gloria</dc:creator>
  <cp:keywords/>
  <dc:description/>
  <cp:lastModifiedBy>giacomello.gloria</cp:lastModifiedBy>
  <cp:revision>4</cp:revision>
  <dcterms:created xsi:type="dcterms:W3CDTF">2024-07-29T14:06:00Z</dcterms:created>
  <dcterms:modified xsi:type="dcterms:W3CDTF">2024-07-29T14:24:00Z</dcterms:modified>
</cp:coreProperties>
</file>