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1BF21B" w14:textId="39B0F5BF" w:rsidR="00AE5EB3" w:rsidRPr="00A55D93" w:rsidRDefault="00AE5EB3" w:rsidP="00AE5EB3">
      <w:pPr>
        <w:pStyle w:val="p1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 w:rsidRPr="00A55D93">
        <w:rPr>
          <w:rFonts w:ascii="Times New Roman" w:hAnsi="Times New Roman"/>
          <w:b/>
          <w:bCs/>
          <w:sz w:val="24"/>
          <w:szCs w:val="24"/>
        </w:rPr>
        <w:t xml:space="preserve">Novel insights on the role of CXCL12-CXCR4 </w:t>
      </w:r>
      <w:proofErr w:type="spellStart"/>
      <w:r w:rsidRPr="00A55D93">
        <w:rPr>
          <w:rFonts w:ascii="Times New Roman" w:hAnsi="Times New Roman"/>
          <w:b/>
          <w:bCs/>
          <w:sz w:val="24"/>
          <w:szCs w:val="24"/>
        </w:rPr>
        <w:t>signaling</w:t>
      </w:r>
      <w:proofErr w:type="spellEnd"/>
      <w:r w:rsidRPr="00A55D93">
        <w:rPr>
          <w:rFonts w:ascii="Times New Roman" w:hAnsi="Times New Roman"/>
          <w:b/>
          <w:bCs/>
          <w:sz w:val="24"/>
          <w:szCs w:val="24"/>
        </w:rPr>
        <w:t xml:space="preserve"> in hematopoietic development</w:t>
      </w:r>
    </w:p>
    <w:p w14:paraId="1DC6B8E5" w14:textId="6BAFF444" w:rsidR="00B77ABD" w:rsidRDefault="00B77ABD" w:rsidP="00AE5EB3">
      <w:pPr>
        <w:pStyle w:val="p1"/>
        <w:jc w:val="both"/>
        <w:rPr>
          <w:rFonts w:ascii="Times New Roman" w:hAnsi="Times New Roman"/>
          <w:sz w:val="24"/>
          <w:szCs w:val="24"/>
        </w:rPr>
      </w:pPr>
    </w:p>
    <w:p w14:paraId="51692F7B" w14:textId="41DA6652" w:rsidR="00A55D93" w:rsidRPr="008348CC" w:rsidRDefault="00FB49B0" w:rsidP="00FB49B0">
      <w:pPr>
        <w:rPr>
          <w:vertAlign w:val="superscript"/>
          <w:lang w:val="it-IT"/>
        </w:rPr>
      </w:pPr>
      <w:r w:rsidRPr="00935F95">
        <w:rPr>
          <w:lang w:val="it-IT"/>
        </w:rPr>
        <w:t>Alessandro Muratore</w:t>
      </w:r>
      <w:r w:rsidRPr="00935F95">
        <w:rPr>
          <w:vertAlign w:val="superscript"/>
          <w:lang w:val="it-IT"/>
        </w:rPr>
        <w:t>1</w:t>
      </w:r>
      <w:r w:rsidRPr="00935F95">
        <w:rPr>
          <w:lang w:val="it-IT"/>
        </w:rPr>
        <w:t xml:space="preserve">, </w:t>
      </w:r>
      <w:proofErr w:type="spellStart"/>
      <w:r w:rsidR="008348CC" w:rsidRPr="00935F95">
        <w:rPr>
          <w:lang w:val="it-IT"/>
        </w:rPr>
        <w:t>Sandesh</w:t>
      </w:r>
      <w:proofErr w:type="spellEnd"/>
      <w:r w:rsidR="008348CC" w:rsidRPr="00935F95">
        <w:rPr>
          <w:lang w:val="it-IT"/>
        </w:rPr>
        <w:t xml:space="preserve"> Kumar </w:t>
      </w:r>
      <w:r w:rsidR="008348CC" w:rsidRPr="008348CC">
        <w:rPr>
          <w:lang w:val="it-IT"/>
        </w:rPr>
        <w:t>Patel</w:t>
      </w:r>
      <w:r w:rsidR="008348CC" w:rsidRPr="008348CC">
        <w:rPr>
          <w:vertAlign w:val="superscript"/>
          <w:lang w:val="it-IT"/>
        </w:rPr>
        <w:t>1</w:t>
      </w:r>
      <w:r w:rsidR="008348CC">
        <w:rPr>
          <w:lang w:val="it-IT"/>
        </w:rPr>
        <w:t xml:space="preserve">, </w:t>
      </w:r>
      <w:r w:rsidRPr="008348CC">
        <w:rPr>
          <w:lang w:val="it-IT"/>
        </w:rPr>
        <w:t>Cristiana</w:t>
      </w:r>
      <w:r w:rsidRPr="00935F95">
        <w:rPr>
          <w:lang w:val="it-IT"/>
        </w:rPr>
        <w:t xml:space="preserve"> Barone</w:t>
      </w:r>
      <w:r w:rsidRPr="00935F95">
        <w:rPr>
          <w:vertAlign w:val="superscript"/>
          <w:lang w:val="it-IT"/>
        </w:rPr>
        <w:t>1</w:t>
      </w:r>
      <w:r w:rsidRPr="00935F95">
        <w:rPr>
          <w:lang w:val="it-IT"/>
        </w:rPr>
        <w:t>, Veronica Bonalume</w:t>
      </w:r>
      <w:r w:rsidRPr="00935F95">
        <w:rPr>
          <w:vertAlign w:val="superscript"/>
          <w:lang w:val="it-IT"/>
        </w:rPr>
        <w:t>2</w:t>
      </w:r>
      <w:r w:rsidRPr="00935F95">
        <w:rPr>
          <w:lang w:val="it-IT"/>
        </w:rPr>
        <w:t>, Giovanni Canu</w:t>
      </w:r>
      <w:r w:rsidRPr="00935F95">
        <w:rPr>
          <w:vertAlign w:val="superscript"/>
          <w:lang w:val="it-IT"/>
        </w:rPr>
        <w:t>4</w:t>
      </w:r>
      <w:r w:rsidRPr="00935F95">
        <w:rPr>
          <w:lang w:val="it-IT"/>
        </w:rPr>
        <w:t>, Giulia Quattrini</w:t>
      </w:r>
      <w:r w:rsidRPr="00935F95">
        <w:rPr>
          <w:vertAlign w:val="superscript"/>
          <w:lang w:val="it-IT"/>
        </w:rPr>
        <w:t>1</w:t>
      </w:r>
      <w:r w:rsidRPr="00935F95">
        <w:rPr>
          <w:lang w:val="it-IT"/>
        </w:rPr>
        <w:t>, Gloria Zambelli</w:t>
      </w:r>
      <w:r w:rsidRPr="00935F95">
        <w:rPr>
          <w:vertAlign w:val="superscript"/>
          <w:lang w:val="it-IT"/>
        </w:rPr>
        <w:t>1</w:t>
      </w:r>
      <w:r w:rsidRPr="00935F95">
        <w:rPr>
          <w:lang w:val="it-IT"/>
        </w:rPr>
        <w:t>, Francesca Caprioglio</w:t>
      </w:r>
      <w:r w:rsidRPr="00935F95">
        <w:rPr>
          <w:vertAlign w:val="superscript"/>
          <w:lang w:val="it-IT"/>
        </w:rPr>
        <w:t>3</w:t>
      </w:r>
      <w:r w:rsidRPr="00935F95">
        <w:rPr>
          <w:lang w:val="it-IT"/>
        </w:rPr>
        <w:t>, Raffaella Meneveri</w:t>
      </w:r>
      <w:r w:rsidRPr="00935F95">
        <w:rPr>
          <w:vertAlign w:val="superscript"/>
          <w:lang w:val="it-IT"/>
        </w:rPr>
        <w:t>1</w:t>
      </w:r>
      <w:r w:rsidRPr="00935F95">
        <w:rPr>
          <w:lang w:val="it-IT"/>
        </w:rPr>
        <w:t>, Silvia Brunelli</w:t>
      </w:r>
      <w:r w:rsidRPr="00935F95">
        <w:rPr>
          <w:vertAlign w:val="superscript"/>
          <w:lang w:val="it-IT"/>
        </w:rPr>
        <w:t>1</w:t>
      </w:r>
      <w:r w:rsidR="00A55D93">
        <w:rPr>
          <w:vertAlign w:val="superscript"/>
          <w:lang w:val="it-IT"/>
        </w:rPr>
        <w:t>,5</w:t>
      </w:r>
      <w:r w:rsidRPr="00935F95">
        <w:rPr>
          <w:lang w:val="it-IT"/>
        </w:rPr>
        <w:t>, Christiana Ruhrberg</w:t>
      </w:r>
      <w:r w:rsidRPr="00935F95">
        <w:rPr>
          <w:vertAlign w:val="superscript"/>
          <w:lang w:val="it-IT"/>
        </w:rPr>
        <w:t>4</w:t>
      </w:r>
      <w:r w:rsidRPr="00935F95">
        <w:rPr>
          <w:lang w:val="it-IT"/>
        </w:rPr>
        <w:t>, Marco Emilio Bianchi</w:t>
      </w:r>
      <w:r w:rsidRPr="00935F95">
        <w:rPr>
          <w:vertAlign w:val="superscript"/>
          <w:lang w:val="it-IT"/>
        </w:rPr>
        <w:t>3</w:t>
      </w:r>
      <w:r w:rsidRPr="00935F95">
        <w:rPr>
          <w:lang w:val="it-IT"/>
        </w:rPr>
        <w:t>, Alessandro Fantin</w:t>
      </w:r>
      <w:r w:rsidRPr="00935F95">
        <w:rPr>
          <w:vertAlign w:val="superscript"/>
          <w:lang w:val="it-IT"/>
        </w:rPr>
        <w:t>2</w:t>
      </w:r>
      <w:r w:rsidRPr="00935F95">
        <w:rPr>
          <w:lang w:val="it-IT"/>
        </w:rPr>
        <w:t>, Emanuele Azzoni</w:t>
      </w:r>
      <w:r w:rsidRPr="00935F95">
        <w:rPr>
          <w:vertAlign w:val="superscript"/>
          <w:lang w:val="it-IT"/>
        </w:rPr>
        <w:t>1</w:t>
      </w:r>
      <w:r w:rsidR="00A55D93">
        <w:rPr>
          <w:vertAlign w:val="superscript"/>
          <w:lang w:val="it-IT"/>
        </w:rPr>
        <w:t>,5</w:t>
      </w:r>
      <w:r w:rsidRPr="00935F95">
        <w:rPr>
          <w:lang w:val="it-IT"/>
        </w:rPr>
        <w:t>.</w:t>
      </w:r>
      <w:r w:rsidRPr="00935F95">
        <w:rPr>
          <w:lang w:val="it-IT"/>
        </w:rPr>
        <w:br/>
      </w:r>
      <w:r w:rsidRPr="00935F95">
        <w:rPr>
          <w:lang w:val="it-IT"/>
        </w:rPr>
        <w:br/>
      </w:r>
      <w:r>
        <w:t xml:space="preserve">1. </w:t>
      </w:r>
      <w:r w:rsidRPr="00FF3C89">
        <w:t>School of Medicine and Surgery, University of Milano-Bicocca, Monza, Italy</w:t>
      </w:r>
      <w:r>
        <w:t>.</w:t>
      </w:r>
      <w:r>
        <w:br/>
        <w:t xml:space="preserve">2. </w:t>
      </w:r>
      <w:r w:rsidRPr="00FF3C89">
        <w:t xml:space="preserve">Department of Biosciences, University of Milan, Via G. </w:t>
      </w:r>
      <w:proofErr w:type="spellStart"/>
      <w:r w:rsidRPr="00FF3C89">
        <w:t>Celoria</w:t>
      </w:r>
      <w:proofErr w:type="spellEnd"/>
      <w:r w:rsidRPr="00FF3C89">
        <w:t xml:space="preserve"> 26, 20133, Milan, Italy</w:t>
      </w:r>
      <w:r>
        <w:t>.</w:t>
      </w:r>
      <w:r w:rsidRPr="00FF3C89">
        <w:br/>
      </w:r>
      <w:r>
        <w:t xml:space="preserve">3. </w:t>
      </w:r>
      <w:r w:rsidRPr="00FF3C89">
        <w:t>Chromatin Dynamics Unit, Division of Genetics and Cell Biology, San Raffaele</w:t>
      </w:r>
      <w:r>
        <w:t xml:space="preserve"> </w:t>
      </w:r>
      <w:r w:rsidRPr="00FF3C89">
        <w:t xml:space="preserve">University and San Raffaele Scientific Institute IRCCS, Via </w:t>
      </w:r>
      <w:proofErr w:type="spellStart"/>
      <w:r w:rsidRPr="00FF3C89">
        <w:t>Olgettina</w:t>
      </w:r>
      <w:proofErr w:type="spellEnd"/>
      <w:r w:rsidRPr="00FF3C89">
        <w:t xml:space="preserve"> 58, 20132 Milan, Italy</w:t>
      </w:r>
      <w:r>
        <w:t>.</w:t>
      </w:r>
      <w:r w:rsidRPr="00FF3C89">
        <w:br/>
      </w:r>
      <w:r>
        <w:t xml:space="preserve">4. </w:t>
      </w:r>
      <w:r w:rsidRPr="00FF3C89">
        <w:t>University College London, Department of Ophthalmology London, London, UK.</w:t>
      </w:r>
    </w:p>
    <w:p w14:paraId="24D41EA4" w14:textId="316A2DBB" w:rsidR="00A55D93" w:rsidRPr="005820A1" w:rsidRDefault="00A55D93" w:rsidP="00FB49B0">
      <w:pPr>
        <w:rPr>
          <w:lang w:val="en-GB"/>
        </w:rPr>
      </w:pPr>
      <w:r w:rsidRPr="005820A1">
        <w:rPr>
          <w:lang w:val="en-GB"/>
        </w:rPr>
        <w:t xml:space="preserve">5. Fondazione IRCCS San Gerardo </w:t>
      </w:r>
      <w:proofErr w:type="spellStart"/>
      <w:r w:rsidRPr="005820A1">
        <w:rPr>
          <w:lang w:val="en-GB"/>
        </w:rPr>
        <w:t>dei</w:t>
      </w:r>
      <w:proofErr w:type="spellEnd"/>
      <w:r w:rsidRPr="005820A1">
        <w:rPr>
          <w:lang w:val="en-GB"/>
        </w:rPr>
        <w:t xml:space="preserve"> </w:t>
      </w:r>
      <w:proofErr w:type="spellStart"/>
      <w:r w:rsidRPr="005820A1">
        <w:rPr>
          <w:lang w:val="en-GB"/>
        </w:rPr>
        <w:t>Tintori</w:t>
      </w:r>
      <w:proofErr w:type="spellEnd"/>
      <w:r w:rsidRPr="005820A1">
        <w:rPr>
          <w:lang w:val="en-GB"/>
        </w:rPr>
        <w:t>, Monza, Italy</w:t>
      </w:r>
    </w:p>
    <w:p w14:paraId="342AE30D" w14:textId="77777777" w:rsidR="00111735" w:rsidRPr="005820A1" w:rsidRDefault="00111735" w:rsidP="00AE5EB3">
      <w:pPr>
        <w:pStyle w:val="p1"/>
        <w:jc w:val="both"/>
        <w:rPr>
          <w:rFonts w:ascii="Times New Roman" w:hAnsi="Times New Roman"/>
          <w:sz w:val="24"/>
          <w:szCs w:val="24"/>
          <w:lang w:val="en-GB"/>
        </w:rPr>
      </w:pPr>
    </w:p>
    <w:p w14:paraId="6A2F416E" w14:textId="12430507" w:rsidR="00D30424" w:rsidRPr="005820A1" w:rsidRDefault="00D30424" w:rsidP="00D30424">
      <w:pPr>
        <w:pStyle w:val="NormaleWeb"/>
        <w:jc w:val="both"/>
        <w:rPr>
          <w:color w:val="000000"/>
          <w:lang w:val="en-US"/>
        </w:rPr>
      </w:pPr>
      <w:r w:rsidRPr="005820A1">
        <w:rPr>
          <w:color w:val="000000"/>
          <w:lang w:val="en-US"/>
        </w:rPr>
        <w:t>The CXCL12</w:t>
      </w:r>
      <w:r w:rsidR="006774BB" w:rsidRPr="005820A1">
        <w:rPr>
          <w:color w:val="000000"/>
          <w:lang w:val="en-US"/>
        </w:rPr>
        <w:t>-</w:t>
      </w:r>
      <w:r w:rsidRPr="005820A1">
        <w:rPr>
          <w:color w:val="000000"/>
          <w:lang w:val="en-US"/>
        </w:rPr>
        <w:t>CXCR4</w:t>
      </w:r>
      <w:r w:rsidR="006774BB" w:rsidRPr="005820A1">
        <w:rPr>
          <w:color w:val="000000"/>
          <w:lang w:val="en-US"/>
        </w:rPr>
        <w:t xml:space="preserve"> axis</w:t>
      </w:r>
      <w:r w:rsidRPr="005820A1">
        <w:rPr>
          <w:color w:val="000000"/>
          <w:lang w:val="en-US"/>
        </w:rPr>
        <w:t xml:space="preserve"> play</w:t>
      </w:r>
      <w:r w:rsidR="00B77ABD" w:rsidRPr="005820A1">
        <w:rPr>
          <w:color w:val="000000"/>
          <w:lang w:val="en-US"/>
        </w:rPr>
        <w:t>s</w:t>
      </w:r>
      <w:r w:rsidR="00835415" w:rsidRPr="005820A1">
        <w:rPr>
          <w:color w:val="000000"/>
          <w:lang w:val="en-US"/>
        </w:rPr>
        <w:t xml:space="preserve"> a</w:t>
      </w:r>
      <w:r w:rsidRPr="005820A1">
        <w:rPr>
          <w:color w:val="000000"/>
          <w:lang w:val="en-US"/>
        </w:rPr>
        <w:t xml:space="preserve"> </w:t>
      </w:r>
      <w:r w:rsidR="00835415" w:rsidRPr="005820A1">
        <w:rPr>
          <w:color w:val="000000"/>
          <w:lang w:val="en-US"/>
        </w:rPr>
        <w:t>key</w:t>
      </w:r>
      <w:r w:rsidRPr="005820A1">
        <w:rPr>
          <w:color w:val="000000"/>
          <w:lang w:val="en-US"/>
        </w:rPr>
        <w:t xml:space="preserve"> role in inflammat</w:t>
      </w:r>
      <w:r w:rsidR="005820A1">
        <w:rPr>
          <w:color w:val="000000"/>
          <w:lang w:val="en-US"/>
        </w:rPr>
        <w:t xml:space="preserve">ion </w:t>
      </w:r>
      <w:r w:rsidR="00B77ABD" w:rsidRPr="005820A1">
        <w:rPr>
          <w:color w:val="000000"/>
          <w:lang w:val="en-US"/>
        </w:rPr>
        <w:t>and embryonic</w:t>
      </w:r>
      <w:r w:rsidR="00111735" w:rsidRPr="005820A1">
        <w:rPr>
          <w:color w:val="000000"/>
          <w:lang w:val="en-US"/>
        </w:rPr>
        <w:t>/</w:t>
      </w:r>
      <w:r w:rsidR="00B77ABD" w:rsidRPr="005820A1">
        <w:rPr>
          <w:color w:val="000000"/>
          <w:lang w:val="en-US"/>
        </w:rPr>
        <w:t>fetal hematopoiesis</w:t>
      </w:r>
      <w:r w:rsidRPr="005820A1">
        <w:rPr>
          <w:color w:val="000000"/>
          <w:lang w:val="en-US"/>
        </w:rPr>
        <w:t xml:space="preserve">. </w:t>
      </w:r>
      <w:r w:rsidR="00B77ABD" w:rsidRPr="005820A1">
        <w:rPr>
          <w:color w:val="000000"/>
          <w:lang w:val="en-US"/>
        </w:rPr>
        <w:t xml:space="preserve">Although the </w:t>
      </w:r>
      <w:r w:rsidR="005820A1">
        <w:rPr>
          <w:color w:val="000000"/>
          <w:lang w:val="en-US"/>
        </w:rPr>
        <w:t>importance</w:t>
      </w:r>
      <w:r w:rsidR="00B77ABD" w:rsidRPr="005820A1">
        <w:rPr>
          <w:color w:val="000000"/>
          <w:lang w:val="en-US"/>
        </w:rPr>
        <w:t xml:space="preserve"> of this pathway in </w:t>
      </w:r>
      <w:r w:rsidRPr="005820A1">
        <w:rPr>
          <w:color w:val="000000"/>
          <w:lang w:val="en-US"/>
        </w:rPr>
        <w:t>hematopoi</w:t>
      </w:r>
      <w:r w:rsidR="00B77ABD" w:rsidRPr="005820A1">
        <w:rPr>
          <w:color w:val="000000"/>
          <w:lang w:val="en-US"/>
        </w:rPr>
        <w:t>etic development has been established</w:t>
      </w:r>
      <w:r w:rsidRPr="005820A1">
        <w:rPr>
          <w:color w:val="000000"/>
          <w:lang w:val="en-US"/>
        </w:rPr>
        <w:t xml:space="preserve">, significant gaps remain in understanding </w:t>
      </w:r>
      <w:r w:rsidR="005820A1">
        <w:rPr>
          <w:color w:val="000000"/>
          <w:lang w:val="en-US"/>
        </w:rPr>
        <w:t>the specific</w:t>
      </w:r>
      <w:r w:rsidR="002A394E" w:rsidRPr="005820A1">
        <w:rPr>
          <w:color w:val="000000"/>
          <w:lang w:val="en-US"/>
        </w:rPr>
        <w:t xml:space="preserve"> </w:t>
      </w:r>
      <w:r w:rsidR="005820A1">
        <w:rPr>
          <w:color w:val="000000"/>
          <w:lang w:val="en-US"/>
        </w:rPr>
        <w:t>functions</w:t>
      </w:r>
      <w:r w:rsidR="002A394E" w:rsidRPr="005820A1">
        <w:rPr>
          <w:color w:val="000000"/>
          <w:lang w:val="en-US"/>
        </w:rPr>
        <w:t xml:space="preserve"> of CXCR4 different ligands</w:t>
      </w:r>
      <w:r w:rsidRPr="005820A1">
        <w:rPr>
          <w:color w:val="000000"/>
          <w:lang w:val="en-US"/>
        </w:rPr>
        <w:t xml:space="preserve"> </w:t>
      </w:r>
      <w:r w:rsidR="005820A1">
        <w:rPr>
          <w:color w:val="000000"/>
          <w:lang w:val="en-US"/>
        </w:rPr>
        <w:t xml:space="preserve">in </w:t>
      </w:r>
      <w:r w:rsidRPr="005820A1">
        <w:rPr>
          <w:color w:val="000000"/>
          <w:lang w:val="en-US"/>
        </w:rPr>
        <w:t>early hematopoietic progenitor dynamics. Additionally,</w:t>
      </w:r>
      <w:r w:rsidR="00055944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>High Mobility Group Box 1 (HMGB1)</w:t>
      </w:r>
      <w:r w:rsidR="00906EBC" w:rsidRPr="005820A1">
        <w:rPr>
          <w:color w:val="000000"/>
          <w:lang w:val="en-US"/>
        </w:rPr>
        <w:t>,</w:t>
      </w:r>
      <w:r w:rsidR="00055944" w:rsidRPr="005820A1">
        <w:rPr>
          <w:color w:val="000000"/>
          <w:lang w:val="en-US"/>
        </w:rPr>
        <w:t xml:space="preserve"> known for</w:t>
      </w:r>
      <w:r w:rsidR="00E169E8" w:rsidRPr="005820A1">
        <w:rPr>
          <w:color w:val="000000"/>
          <w:lang w:val="en-US"/>
        </w:rPr>
        <w:t xml:space="preserve"> </w:t>
      </w:r>
      <w:r w:rsidR="00487C99" w:rsidRPr="005820A1">
        <w:rPr>
          <w:color w:val="000000"/>
          <w:lang w:val="en-US"/>
        </w:rPr>
        <w:t>its</w:t>
      </w:r>
      <w:r w:rsidR="00906EBC" w:rsidRPr="005820A1">
        <w:rPr>
          <w:color w:val="000000"/>
          <w:lang w:val="en-US"/>
        </w:rPr>
        <w:t xml:space="preserve"> role in inflammation and tissue regeneration, </w:t>
      </w:r>
      <w:r w:rsidR="00055944" w:rsidRPr="005820A1">
        <w:rPr>
          <w:color w:val="000000"/>
          <w:lang w:val="en-US"/>
        </w:rPr>
        <w:t>can bind</w:t>
      </w:r>
      <w:r w:rsidR="007C5B7C" w:rsidRPr="005820A1">
        <w:rPr>
          <w:color w:val="000000"/>
          <w:lang w:val="en-US"/>
        </w:rPr>
        <w:t xml:space="preserve"> </w:t>
      </w:r>
      <w:r w:rsidR="00055944" w:rsidRPr="005820A1">
        <w:rPr>
          <w:color w:val="000000"/>
          <w:lang w:val="en-US"/>
        </w:rPr>
        <w:t xml:space="preserve">CXCL12, forming a heterocomplex </w:t>
      </w:r>
      <w:r w:rsidR="005820A1">
        <w:rPr>
          <w:color w:val="000000"/>
          <w:lang w:val="en-US"/>
        </w:rPr>
        <w:t>signaling</w:t>
      </w:r>
      <w:r w:rsidR="00055944" w:rsidRPr="005820A1">
        <w:rPr>
          <w:color w:val="000000"/>
          <w:lang w:val="en-US"/>
        </w:rPr>
        <w:t xml:space="preserve"> through CXCR4. The </w:t>
      </w:r>
      <w:r w:rsidR="00B77ABD" w:rsidRPr="005820A1">
        <w:rPr>
          <w:color w:val="000000"/>
          <w:lang w:val="en-US"/>
        </w:rPr>
        <w:t xml:space="preserve">role of </w:t>
      </w:r>
      <w:r w:rsidR="00055944" w:rsidRPr="005820A1">
        <w:rPr>
          <w:color w:val="000000"/>
          <w:lang w:val="en-US"/>
        </w:rPr>
        <w:t xml:space="preserve">HMGB1-CXCR4 </w:t>
      </w:r>
      <w:r w:rsidR="00B77ABD" w:rsidRPr="005820A1">
        <w:rPr>
          <w:color w:val="000000"/>
          <w:lang w:val="en-US"/>
        </w:rPr>
        <w:t>in</w:t>
      </w:r>
      <w:r w:rsidR="00055944" w:rsidRPr="005820A1">
        <w:rPr>
          <w:color w:val="000000"/>
          <w:lang w:val="en-US"/>
        </w:rPr>
        <w:t xml:space="preserve"> embryonic hematopoiesis</w:t>
      </w:r>
      <w:r w:rsidR="00B77ABD" w:rsidRPr="005820A1">
        <w:rPr>
          <w:color w:val="000000"/>
          <w:lang w:val="en-US"/>
        </w:rPr>
        <w:t xml:space="preserve"> is </w:t>
      </w:r>
      <w:r w:rsidR="00111735" w:rsidRPr="005820A1">
        <w:rPr>
          <w:color w:val="000000"/>
          <w:lang w:val="en-US"/>
        </w:rPr>
        <w:t xml:space="preserve">still </w:t>
      </w:r>
      <w:r w:rsidR="00B77ABD" w:rsidRPr="005820A1">
        <w:rPr>
          <w:color w:val="000000"/>
          <w:lang w:val="en-US"/>
        </w:rPr>
        <w:t>largely unexplored</w:t>
      </w:r>
      <w:r w:rsidRPr="005820A1">
        <w:rPr>
          <w:color w:val="000000"/>
          <w:lang w:val="en-US"/>
        </w:rPr>
        <w:t>.</w:t>
      </w:r>
      <w:r w:rsidR="00906EBC" w:rsidRPr="005820A1">
        <w:rPr>
          <w:color w:val="000000"/>
          <w:lang w:val="en-US"/>
        </w:rPr>
        <w:t xml:space="preserve"> </w:t>
      </w:r>
    </w:p>
    <w:p w14:paraId="2DECCF76" w14:textId="29DF0F65" w:rsidR="00043B57" w:rsidRPr="005820A1" w:rsidRDefault="007C5B7C" w:rsidP="00D30424">
      <w:pPr>
        <w:pStyle w:val="NormaleWeb"/>
        <w:jc w:val="both"/>
        <w:rPr>
          <w:color w:val="000000"/>
          <w:lang w:val="en-US"/>
        </w:rPr>
      </w:pPr>
      <w:r w:rsidRPr="005820A1">
        <w:rPr>
          <w:color w:val="000000"/>
          <w:lang w:val="en-US"/>
        </w:rPr>
        <w:t xml:space="preserve">To </w:t>
      </w:r>
      <w:r w:rsidR="008E2E33" w:rsidRPr="005820A1">
        <w:rPr>
          <w:color w:val="000000"/>
          <w:lang w:val="en-US"/>
        </w:rPr>
        <w:t>precisely map the expression of CXCL12 at early stages of hematopoiesis</w:t>
      </w:r>
      <w:r w:rsidR="00B7566C" w:rsidRPr="005820A1">
        <w:rPr>
          <w:color w:val="000000"/>
          <w:lang w:val="en-US"/>
        </w:rPr>
        <w:t xml:space="preserve">, we </w:t>
      </w:r>
      <w:r w:rsidR="002C0E67" w:rsidRPr="005820A1">
        <w:rPr>
          <w:color w:val="000000"/>
          <w:lang w:val="en-US"/>
        </w:rPr>
        <w:t>took advantage of</w:t>
      </w:r>
      <w:r w:rsidR="00B7566C" w:rsidRPr="005820A1">
        <w:rPr>
          <w:color w:val="000000"/>
          <w:lang w:val="en-US"/>
        </w:rPr>
        <w:t xml:space="preserve"> the CXCL12</w:t>
      </w:r>
      <w:r w:rsidR="00B7566C" w:rsidRPr="005820A1">
        <w:rPr>
          <w:color w:val="000000"/>
          <w:vertAlign w:val="superscript"/>
          <w:lang w:val="en-US"/>
        </w:rPr>
        <w:t>+/</w:t>
      </w:r>
      <w:proofErr w:type="spellStart"/>
      <w:r w:rsidR="00B7566C" w:rsidRPr="005820A1">
        <w:rPr>
          <w:color w:val="000000"/>
          <w:vertAlign w:val="superscript"/>
          <w:lang w:val="en-US"/>
        </w:rPr>
        <w:t>eGFP</w:t>
      </w:r>
      <w:proofErr w:type="spellEnd"/>
      <w:r w:rsidR="00B7566C" w:rsidRPr="005820A1">
        <w:rPr>
          <w:color w:val="000000"/>
          <w:lang w:val="en-US"/>
        </w:rPr>
        <w:t xml:space="preserve"> </w:t>
      </w:r>
      <w:r w:rsidR="008E2E33" w:rsidRPr="005820A1">
        <w:rPr>
          <w:color w:val="000000"/>
          <w:lang w:val="en-US"/>
        </w:rPr>
        <w:t xml:space="preserve">knock-in </w:t>
      </w:r>
      <w:r w:rsidR="00B7566C" w:rsidRPr="005820A1">
        <w:rPr>
          <w:color w:val="000000"/>
          <w:lang w:val="en-US"/>
        </w:rPr>
        <w:t xml:space="preserve">transgenic mouse </w:t>
      </w:r>
      <w:r w:rsidR="008E2E33" w:rsidRPr="005820A1">
        <w:rPr>
          <w:color w:val="000000"/>
          <w:lang w:val="en-US"/>
        </w:rPr>
        <w:t>line. This line also allows to analyze the hematopoietic phenotype of homozygous CXCL12</w:t>
      </w:r>
      <w:r w:rsidR="008E2E33" w:rsidRPr="005820A1">
        <w:rPr>
          <w:color w:val="000000"/>
          <w:vertAlign w:val="superscript"/>
          <w:lang w:val="en-US"/>
        </w:rPr>
        <w:t>eGFP/</w:t>
      </w:r>
      <w:proofErr w:type="spellStart"/>
      <w:r w:rsidR="008E2E33" w:rsidRPr="005820A1">
        <w:rPr>
          <w:color w:val="000000"/>
          <w:vertAlign w:val="superscript"/>
          <w:lang w:val="en-US"/>
        </w:rPr>
        <w:t>eGFP</w:t>
      </w:r>
      <w:proofErr w:type="spellEnd"/>
      <w:r w:rsidR="008E2E33" w:rsidRPr="005820A1">
        <w:rPr>
          <w:color w:val="000000"/>
          <w:lang w:val="en-US"/>
        </w:rPr>
        <w:t xml:space="preserve"> embryos lacking CXCL12.</w:t>
      </w:r>
      <w:r w:rsidR="008A39AC" w:rsidRPr="005820A1">
        <w:rPr>
          <w:color w:val="000000"/>
          <w:lang w:val="en-US"/>
        </w:rPr>
        <w:t xml:space="preserve"> </w:t>
      </w:r>
      <w:r w:rsidR="008E2E33" w:rsidRPr="005820A1">
        <w:rPr>
          <w:color w:val="000000"/>
          <w:lang w:val="en-US"/>
        </w:rPr>
        <w:t>We</w:t>
      </w:r>
      <w:r w:rsidR="008A39AC" w:rsidRPr="005820A1">
        <w:rPr>
          <w:color w:val="000000"/>
          <w:lang w:val="en-US"/>
        </w:rPr>
        <w:t xml:space="preserve"> </w:t>
      </w:r>
      <w:r w:rsidR="002C0E67" w:rsidRPr="005820A1">
        <w:rPr>
          <w:color w:val="000000"/>
          <w:lang w:val="en-US"/>
        </w:rPr>
        <w:t>assess</w:t>
      </w:r>
      <w:r w:rsidR="008E2E33" w:rsidRPr="005820A1">
        <w:rPr>
          <w:color w:val="000000"/>
          <w:lang w:val="en-US"/>
        </w:rPr>
        <w:t>ed</w:t>
      </w:r>
      <w:r w:rsidR="002C0E67" w:rsidRPr="005820A1">
        <w:rPr>
          <w:color w:val="000000"/>
          <w:lang w:val="en-US"/>
        </w:rPr>
        <w:t xml:space="preserve"> </w:t>
      </w:r>
      <w:r w:rsidR="008A39AC" w:rsidRPr="005820A1">
        <w:rPr>
          <w:color w:val="000000"/>
          <w:lang w:val="en-US"/>
        </w:rPr>
        <w:t>CXCL12 expressin</w:t>
      </w:r>
      <w:r w:rsidR="008E2E33" w:rsidRPr="005820A1">
        <w:rPr>
          <w:color w:val="000000"/>
          <w:lang w:val="en-US"/>
        </w:rPr>
        <w:t>g cells</w:t>
      </w:r>
      <w:r w:rsidR="008A39AC" w:rsidRPr="005820A1">
        <w:rPr>
          <w:color w:val="000000"/>
          <w:lang w:val="en-US"/>
        </w:rPr>
        <w:t xml:space="preserve"> in primary and secondary hematopoietic sites at embryonic day 10.5 (E10.5)</w:t>
      </w:r>
      <w:r w:rsidR="002C0E67" w:rsidRPr="005820A1">
        <w:rPr>
          <w:color w:val="000000"/>
          <w:lang w:val="en-US"/>
        </w:rPr>
        <w:t xml:space="preserve"> through whole-mount immunofluorescence (IFs)</w:t>
      </w:r>
      <w:r w:rsidR="008A39AC" w:rsidRPr="005820A1">
        <w:rPr>
          <w:color w:val="000000"/>
          <w:lang w:val="en-US"/>
        </w:rPr>
        <w:t xml:space="preserve">. </w:t>
      </w:r>
      <w:r w:rsidR="008E2E33" w:rsidRPr="005820A1">
        <w:rPr>
          <w:color w:val="000000"/>
          <w:lang w:val="en-US"/>
        </w:rPr>
        <w:t>In parallel,</w:t>
      </w:r>
      <w:r w:rsidR="00D413ED" w:rsidRPr="005820A1">
        <w:rPr>
          <w:color w:val="000000"/>
          <w:lang w:val="en-US"/>
        </w:rPr>
        <w:t xml:space="preserve"> we performed </w:t>
      </w:r>
      <w:r w:rsidR="008E2E33" w:rsidRPr="005820A1">
        <w:rPr>
          <w:color w:val="000000"/>
          <w:lang w:val="en-US"/>
        </w:rPr>
        <w:t>f</w:t>
      </w:r>
      <w:r w:rsidR="00D413ED" w:rsidRPr="005820A1">
        <w:rPr>
          <w:color w:val="000000"/>
          <w:lang w:val="en-US"/>
        </w:rPr>
        <w:t>low cytometr</w:t>
      </w:r>
      <w:r w:rsidR="008E2E33" w:rsidRPr="005820A1">
        <w:rPr>
          <w:color w:val="000000"/>
          <w:lang w:val="en-US"/>
        </w:rPr>
        <w:t>ic analysis</w:t>
      </w:r>
      <w:r w:rsidR="00D413ED" w:rsidRPr="005820A1">
        <w:rPr>
          <w:color w:val="000000"/>
          <w:lang w:val="en-US"/>
        </w:rPr>
        <w:t xml:space="preserve"> of</w:t>
      </w:r>
      <w:r w:rsidR="002A394E" w:rsidRPr="005820A1">
        <w:rPr>
          <w:color w:val="000000"/>
          <w:lang w:val="en-US"/>
        </w:rPr>
        <w:t xml:space="preserve"> </w:t>
      </w:r>
      <w:r w:rsidR="00D413ED" w:rsidRPr="005820A1">
        <w:rPr>
          <w:color w:val="000000"/>
          <w:lang w:val="en-US"/>
        </w:rPr>
        <w:t xml:space="preserve">Fetal Liver </w:t>
      </w:r>
      <w:r w:rsidRPr="005820A1">
        <w:rPr>
          <w:color w:val="000000"/>
          <w:lang w:val="en-US"/>
        </w:rPr>
        <w:t xml:space="preserve">(FL) </w:t>
      </w:r>
      <w:r w:rsidR="009056E2" w:rsidRPr="005820A1">
        <w:rPr>
          <w:color w:val="000000"/>
          <w:lang w:val="en-US"/>
        </w:rPr>
        <w:t xml:space="preserve">and </w:t>
      </w:r>
      <w:r w:rsidRPr="005820A1">
        <w:rPr>
          <w:color w:val="000000"/>
          <w:lang w:val="en-US"/>
        </w:rPr>
        <w:t>P</w:t>
      </w:r>
      <w:r w:rsidR="009056E2" w:rsidRPr="005820A1">
        <w:rPr>
          <w:color w:val="000000"/>
          <w:lang w:val="en-US"/>
        </w:rPr>
        <w:t xml:space="preserve">eripheral </w:t>
      </w:r>
      <w:r w:rsidRPr="005820A1">
        <w:rPr>
          <w:color w:val="000000"/>
          <w:lang w:val="en-US"/>
        </w:rPr>
        <w:t>B</w:t>
      </w:r>
      <w:r w:rsidR="009056E2" w:rsidRPr="005820A1">
        <w:rPr>
          <w:color w:val="000000"/>
          <w:lang w:val="en-US"/>
        </w:rPr>
        <w:t>lood (PB)</w:t>
      </w:r>
      <w:r w:rsidR="00853339" w:rsidRPr="005820A1">
        <w:rPr>
          <w:color w:val="000000"/>
          <w:lang w:val="en-US"/>
        </w:rPr>
        <w:t xml:space="preserve"> CXCL12-null embryos </w:t>
      </w:r>
      <w:r w:rsidR="00D413ED" w:rsidRPr="005820A1">
        <w:rPr>
          <w:color w:val="000000"/>
          <w:lang w:val="en-US"/>
        </w:rPr>
        <w:t>at E1</w:t>
      </w:r>
      <w:r w:rsidR="008E2E33" w:rsidRPr="005820A1">
        <w:rPr>
          <w:color w:val="000000"/>
          <w:lang w:val="en-US"/>
        </w:rPr>
        <w:t>2.</w:t>
      </w:r>
      <w:r w:rsidR="00D413ED" w:rsidRPr="005820A1">
        <w:rPr>
          <w:color w:val="000000"/>
          <w:lang w:val="en-US"/>
        </w:rPr>
        <w:t xml:space="preserve">5 and </w:t>
      </w:r>
      <w:r w:rsidRPr="005820A1">
        <w:rPr>
          <w:color w:val="000000"/>
          <w:lang w:val="en-US"/>
        </w:rPr>
        <w:t xml:space="preserve">at </w:t>
      </w:r>
      <w:r w:rsidR="00D413ED" w:rsidRPr="005820A1">
        <w:rPr>
          <w:color w:val="000000"/>
          <w:lang w:val="en-US"/>
        </w:rPr>
        <w:t>E1</w:t>
      </w:r>
      <w:r w:rsidR="008E2E33" w:rsidRPr="005820A1">
        <w:rPr>
          <w:color w:val="000000"/>
          <w:lang w:val="en-US"/>
        </w:rPr>
        <w:t>4.</w:t>
      </w:r>
      <w:r w:rsidR="00D413ED" w:rsidRPr="005820A1">
        <w:rPr>
          <w:color w:val="000000"/>
          <w:lang w:val="en-US"/>
        </w:rPr>
        <w:t>5.</w:t>
      </w:r>
      <w:r w:rsidR="008A39AC" w:rsidRPr="005820A1">
        <w:rPr>
          <w:color w:val="000000"/>
          <w:lang w:val="en-US"/>
        </w:rPr>
        <w:t xml:space="preserve"> Further</w:t>
      </w:r>
      <w:r w:rsidR="009056E2" w:rsidRPr="005820A1">
        <w:rPr>
          <w:color w:val="000000"/>
          <w:lang w:val="en-US"/>
        </w:rPr>
        <w:t>more,</w:t>
      </w:r>
      <w:r w:rsidR="000B3DD5" w:rsidRPr="005820A1">
        <w:rPr>
          <w:color w:val="000000"/>
          <w:lang w:val="en-US"/>
        </w:rPr>
        <w:t xml:space="preserve"> </w:t>
      </w:r>
      <w:r w:rsidR="008E2E33" w:rsidRPr="005820A1">
        <w:rPr>
          <w:color w:val="000000"/>
          <w:lang w:val="en-US"/>
        </w:rPr>
        <w:t xml:space="preserve">to dissect </w:t>
      </w:r>
      <w:r w:rsidR="00111735" w:rsidRPr="005820A1">
        <w:rPr>
          <w:color w:val="000000"/>
          <w:lang w:val="en-US"/>
        </w:rPr>
        <w:t xml:space="preserve">the timing of </w:t>
      </w:r>
      <w:r w:rsidR="008E2E33" w:rsidRPr="005820A1">
        <w:rPr>
          <w:color w:val="000000"/>
          <w:lang w:val="en-US"/>
        </w:rPr>
        <w:t>CXCR4</w:t>
      </w:r>
      <w:r w:rsidR="00111735" w:rsidRPr="005820A1">
        <w:rPr>
          <w:color w:val="000000"/>
          <w:lang w:val="en-US"/>
        </w:rPr>
        <w:t xml:space="preserve"> requirement during fetal </w:t>
      </w:r>
      <w:r w:rsidR="008E2E33" w:rsidRPr="005820A1">
        <w:rPr>
          <w:color w:val="000000"/>
          <w:lang w:val="en-US"/>
        </w:rPr>
        <w:t xml:space="preserve">hematopoiesis </w:t>
      </w:r>
      <w:r w:rsidR="00111735" w:rsidRPr="005820A1">
        <w:rPr>
          <w:color w:val="000000"/>
          <w:lang w:val="en-US"/>
        </w:rPr>
        <w:t>we adopted a</w:t>
      </w:r>
      <w:r w:rsidR="008E2E33" w:rsidRPr="005820A1">
        <w:rPr>
          <w:color w:val="000000"/>
          <w:lang w:val="en-US"/>
        </w:rPr>
        <w:t xml:space="preserve"> conditional knockout strategy </w:t>
      </w:r>
      <w:r w:rsidR="008A39AC" w:rsidRPr="005820A1">
        <w:rPr>
          <w:color w:val="000000"/>
          <w:lang w:val="en-US"/>
        </w:rPr>
        <w:t>employ</w:t>
      </w:r>
      <w:r w:rsidR="00111735" w:rsidRPr="005820A1">
        <w:rPr>
          <w:color w:val="000000"/>
          <w:lang w:val="en-US"/>
        </w:rPr>
        <w:t>ing</w:t>
      </w:r>
      <w:r w:rsidR="008A39AC" w:rsidRPr="005820A1">
        <w:rPr>
          <w:color w:val="000000"/>
          <w:lang w:val="en-US"/>
        </w:rPr>
        <w:t xml:space="preserve"> Cdh5-CreER</w:t>
      </w:r>
      <w:r w:rsidR="008A39AC" w:rsidRPr="005820A1">
        <w:rPr>
          <w:color w:val="000000"/>
          <w:vertAlign w:val="superscript"/>
          <w:lang w:val="en-US"/>
        </w:rPr>
        <w:t>T</w:t>
      </w:r>
      <w:proofErr w:type="gramStart"/>
      <w:r w:rsidR="008A39AC" w:rsidRPr="005820A1">
        <w:rPr>
          <w:color w:val="000000"/>
          <w:vertAlign w:val="superscript"/>
          <w:lang w:val="en-US"/>
        </w:rPr>
        <w:t>2</w:t>
      </w:r>
      <w:r w:rsidR="008A39AC" w:rsidRPr="005820A1">
        <w:rPr>
          <w:color w:val="000000"/>
          <w:lang w:val="en-US"/>
        </w:rPr>
        <w:t>;R</w:t>
      </w:r>
      <w:proofErr w:type="gramEnd"/>
      <w:r w:rsidR="008A39AC" w:rsidRPr="005820A1">
        <w:rPr>
          <w:color w:val="000000"/>
          <w:lang w:val="en-US"/>
        </w:rPr>
        <w:t>26</w:t>
      </w:r>
      <w:r w:rsidR="008A39AC" w:rsidRPr="005820A1">
        <w:rPr>
          <w:color w:val="000000"/>
          <w:vertAlign w:val="superscript"/>
          <w:lang w:val="en-US"/>
        </w:rPr>
        <w:t>LSL</w:t>
      </w:r>
      <w:r w:rsidR="008A39AC" w:rsidRPr="005820A1">
        <w:rPr>
          <w:color w:val="000000"/>
          <w:lang w:val="en-US"/>
        </w:rPr>
        <w:t>-tdTomato;Cxcr4</w:t>
      </w:r>
      <w:r w:rsidR="008A39AC" w:rsidRPr="005820A1">
        <w:rPr>
          <w:color w:val="000000"/>
          <w:vertAlign w:val="superscript"/>
          <w:lang w:val="en-US"/>
        </w:rPr>
        <w:t>fl/</w:t>
      </w:r>
      <w:proofErr w:type="spellStart"/>
      <w:r w:rsidR="008A39AC" w:rsidRPr="005820A1">
        <w:rPr>
          <w:color w:val="000000"/>
          <w:vertAlign w:val="superscript"/>
          <w:lang w:val="en-US"/>
        </w:rPr>
        <w:t>fl</w:t>
      </w:r>
      <w:proofErr w:type="spellEnd"/>
      <w:r w:rsidR="008A39AC" w:rsidRPr="005820A1">
        <w:rPr>
          <w:color w:val="000000"/>
          <w:vertAlign w:val="superscript"/>
          <w:lang w:val="en-US"/>
        </w:rPr>
        <w:t xml:space="preserve"> </w:t>
      </w:r>
      <w:r w:rsidR="008A39AC" w:rsidRPr="005820A1">
        <w:rPr>
          <w:color w:val="000000"/>
          <w:lang w:val="en-US"/>
        </w:rPr>
        <w:t xml:space="preserve">transgenic </w:t>
      </w:r>
      <w:r w:rsidR="00111735" w:rsidRPr="005820A1">
        <w:rPr>
          <w:color w:val="000000"/>
          <w:lang w:val="en-US"/>
        </w:rPr>
        <w:t>mice</w:t>
      </w:r>
      <w:r w:rsidR="00714CA3" w:rsidRPr="005820A1">
        <w:rPr>
          <w:color w:val="000000"/>
          <w:lang w:val="en-US"/>
        </w:rPr>
        <w:t>.</w:t>
      </w:r>
    </w:p>
    <w:p w14:paraId="05B5DB3A" w14:textId="30249A3C" w:rsidR="00111735" w:rsidRPr="005820A1" w:rsidRDefault="00111735" w:rsidP="00E436C4">
      <w:pPr>
        <w:pStyle w:val="NormaleWeb"/>
        <w:jc w:val="both"/>
        <w:rPr>
          <w:color w:val="000000"/>
          <w:lang w:val="en-US"/>
        </w:rPr>
      </w:pPr>
      <w:r w:rsidRPr="005820A1">
        <w:rPr>
          <w:color w:val="000000"/>
          <w:lang w:val="en-US"/>
        </w:rPr>
        <w:t xml:space="preserve">In </w:t>
      </w:r>
      <w:proofErr w:type="spellStart"/>
      <w:r w:rsidR="00FB49B0" w:rsidRPr="005820A1">
        <w:rPr>
          <w:color w:val="000000"/>
          <w:lang w:val="en-US"/>
        </w:rPr>
        <w:t>midgestation</w:t>
      </w:r>
      <w:proofErr w:type="spellEnd"/>
      <w:r w:rsidRPr="005820A1">
        <w:rPr>
          <w:color w:val="000000"/>
          <w:lang w:val="en-US"/>
        </w:rPr>
        <w:t xml:space="preserve"> embryos (E10.5) we</w:t>
      </w:r>
      <w:r w:rsidR="008E2E33" w:rsidRPr="005820A1">
        <w:rPr>
          <w:color w:val="000000"/>
          <w:lang w:val="en-US"/>
        </w:rPr>
        <w:t xml:space="preserve"> detected strong</w:t>
      </w:r>
      <w:r w:rsidR="00D30424" w:rsidRPr="005820A1">
        <w:rPr>
          <w:color w:val="000000"/>
          <w:lang w:val="en-US"/>
        </w:rPr>
        <w:t xml:space="preserve"> CXCL12 </w:t>
      </w:r>
      <w:r w:rsidR="008E2E33" w:rsidRPr="005820A1">
        <w:rPr>
          <w:color w:val="000000"/>
          <w:lang w:val="en-US"/>
        </w:rPr>
        <w:t xml:space="preserve">expression </w:t>
      </w:r>
      <w:r w:rsidR="00055944" w:rsidRPr="005820A1">
        <w:rPr>
          <w:color w:val="000000"/>
          <w:lang w:val="en-US"/>
        </w:rPr>
        <w:t xml:space="preserve">in the </w:t>
      </w:r>
      <w:r w:rsidR="00714CA3" w:rsidRPr="005820A1">
        <w:rPr>
          <w:color w:val="000000"/>
          <w:lang w:val="en-US"/>
        </w:rPr>
        <w:t>vitelline artery</w:t>
      </w:r>
      <w:r w:rsidR="008E2E33" w:rsidRPr="005820A1">
        <w:rPr>
          <w:color w:val="000000"/>
          <w:lang w:val="en-US"/>
        </w:rPr>
        <w:t>,</w:t>
      </w:r>
      <w:r w:rsidR="00055944" w:rsidRPr="005820A1">
        <w:rPr>
          <w:color w:val="000000"/>
          <w:lang w:val="en-US"/>
        </w:rPr>
        <w:t xml:space="preserve"> which </w:t>
      </w:r>
      <w:r w:rsidR="008E2E33" w:rsidRPr="005820A1">
        <w:rPr>
          <w:color w:val="000000"/>
          <w:lang w:val="en-US"/>
        </w:rPr>
        <w:t>we have previously observed</w:t>
      </w:r>
      <w:r w:rsidR="00CE5945" w:rsidRPr="005820A1">
        <w:rPr>
          <w:color w:val="000000"/>
          <w:lang w:val="en-US"/>
        </w:rPr>
        <w:t xml:space="preserve"> to </w:t>
      </w:r>
      <w:r w:rsidR="00055944" w:rsidRPr="005820A1">
        <w:rPr>
          <w:color w:val="000000"/>
          <w:lang w:val="en-US"/>
        </w:rPr>
        <w:t>give</w:t>
      </w:r>
      <w:r w:rsidR="00CE5945" w:rsidRPr="005820A1">
        <w:rPr>
          <w:color w:val="000000"/>
          <w:lang w:val="en-US"/>
        </w:rPr>
        <w:t xml:space="preserve">-rise </w:t>
      </w:r>
      <w:r w:rsidR="00055944" w:rsidRPr="005820A1">
        <w:rPr>
          <w:color w:val="000000"/>
          <w:lang w:val="en-US"/>
        </w:rPr>
        <w:t>to fetal</w:t>
      </w:r>
      <w:r w:rsidR="00CE5945" w:rsidRPr="005820A1">
        <w:rPr>
          <w:color w:val="000000"/>
          <w:lang w:val="en-US"/>
        </w:rPr>
        <w:t>-</w:t>
      </w:r>
      <w:r w:rsidR="00055944" w:rsidRPr="005820A1">
        <w:rPr>
          <w:color w:val="000000"/>
          <w:lang w:val="en-US"/>
        </w:rPr>
        <w:t>restricted multipotent progenitors</w:t>
      </w:r>
      <w:r w:rsidR="00D30424" w:rsidRPr="005820A1">
        <w:rPr>
          <w:color w:val="000000"/>
          <w:lang w:val="en-US"/>
        </w:rPr>
        <w:t>.</w:t>
      </w:r>
      <w:r w:rsidR="00CE5945" w:rsidRPr="005820A1">
        <w:rPr>
          <w:color w:val="000000"/>
          <w:lang w:val="en-US"/>
        </w:rPr>
        <w:t xml:space="preserve"> </w:t>
      </w:r>
      <w:r w:rsidR="008E2E33" w:rsidRPr="005820A1">
        <w:rPr>
          <w:color w:val="000000"/>
          <w:lang w:val="en-US"/>
        </w:rPr>
        <w:t xml:space="preserve">Accordingly, in FLs lacking CXCL12 we observed </w:t>
      </w:r>
      <w:r w:rsidR="00CE5945" w:rsidRPr="005820A1">
        <w:rPr>
          <w:color w:val="000000"/>
          <w:lang w:val="en-US"/>
        </w:rPr>
        <w:t xml:space="preserve">a significant reduction in </w:t>
      </w:r>
      <w:r w:rsidR="00BB2395" w:rsidRPr="005820A1">
        <w:rPr>
          <w:color w:val="000000"/>
          <w:lang w:val="en-US"/>
        </w:rPr>
        <w:t xml:space="preserve">the total number of </w:t>
      </w:r>
      <w:r w:rsidR="00CE5945" w:rsidRPr="005820A1">
        <w:rPr>
          <w:color w:val="000000"/>
          <w:lang w:val="en-US"/>
        </w:rPr>
        <w:t>LSK</w:t>
      </w:r>
      <w:r w:rsidR="00CE5945" w:rsidRPr="005820A1">
        <w:rPr>
          <w:color w:val="000000"/>
          <w:vertAlign w:val="superscript"/>
          <w:lang w:val="en-US"/>
        </w:rPr>
        <w:t>+</w:t>
      </w:r>
      <w:r w:rsidR="00CE5945" w:rsidRPr="005820A1">
        <w:rPr>
          <w:color w:val="000000"/>
          <w:lang w:val="en-US"/>
        </w:rPr>
        <w:t>CD48</w:t>
      </w:r>
      <w:r w:rsidR="00CE5945" w:rsidRPr="005820A1">
        <w:rPr>
          <w:color w:val="000000"/>
          <w:vertAlign w:val="superscript"/>
          <w:lang w:val="en-US"/>
        </w:rPr>
        <w:t>+</w:t>
      </w:r>
      <w:r w:rsidR="00CE5945" w:rsidRPr="005820A1">
        <w:rPr>
          <w:color w:val="000000"/>
          <w:lang w:val="en-US"/>
        </w:rPr>
        <w:t>CD150</w:t>
      </w:r>
      <w:r w:rsidR="00CE5945" w:rsidRPr="005820A1">
        <w:rPr>
          <w:color w:val="000000"/>
          <w:vertAlign w:val="superscript"/>
          <w:lang w:val="en-US"/>
        </w:rPr>
        <w:t xml:space="preserve">- </w:t>
      </w:r>
      <w:r w:rsidR="00CE5945" w:rsidRPr="005820A1">
        <w:rPr>
          <w:color w:val="000000"/>
          <w:lang w:val="en-US"/>
        </w:rPr>
        <w:t xml:space="preserve">multipotent progenitors (MPPs) </w:t>
      </w:r>
      <w:r w:rsidRPr="005820A1">
        <w:rPr>
          <w:color w:val="000000"/>
          <w:lang w:val="en-US"/>
        </w:rPr>
        <w:t xml:space="preserve">as well as </w:t>
      </w:r>
      <w:r w:rsidR="00CE5945" w:rsidRPr="005820A1">
        <w:rPr>
          <w:color w:val="000000"/>
          <w:lang w:val="en-US"/>
        </w:rPr>
        <w:t>in</w:t>
      </w:r>
      <w:r w:rsidR="00E436C4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>other</w:t>
      </w:r>
      <w:r w:rsidR="00CE5945" w:rsidRPr="005820A1">
        <w:rPr>
          <w:color w:val="000000"/>
          <w:lang w:val="en-US"/>
        </w:rPr>
        <w:t xml:space="preserve"> hematopoietic progenitor cells (Ter119</w:t>
      </w:r>
      <w:r w:rsidR="00CE5945" w:rsidRPr="005820A1">
        <w:rPr>
          <w:color w:val="000000"/>
          <w:vertAlign w:val="superscript"/>
          <w:lang w:val="en-US"/>
        </w:rPr>
        <w:t>-</w:t>
      </w:r>
      <w:r w:rsidR="00CE5945" w:rsidRPr="005820A1">
        <w:rPr>
          <w:color w:val="000000"/>
          <w:lang w:val="en-US"/>
        </w:rPr>
        <w:t>CD45</w:t>
      </w:r>
      <w:r w:rsidR="00CE5945" w:rsidRPr="005820A1">
        <w:rPr>
          <w:color w:val="000000"/>
          <w:vertAlign w:val="superscript"/>
          <w:lang w:val="en-US"/>
        </w:rPr>
        <w:t>+</w:t>
      </w:r>
      <w:r w:rsidR="00CE5945" w:rsidRPr="005820A1">
        <w:rPr>
          <w:color w:val="000000"/>
          <w:lang w:val="en-US"/>
        </w:rPr>
        <w:t>Kit</w:t>
      </w:r>
      <w:r w:rsidR="00CE5945" w:rsidRPr="005820A1">
        <w:rPr>
          <w:color w:val="000000"/>
          <w:vertAlign w:val="superscript"/>
          <w:lang w:val="en-US"/>
        </w:rPr>
        <w:t>+</w:t>
      </w:r>
      <w:r w:rsidR="00CE5945" w:rsidRPr="005820A1">
        <w:rPr>
          <w:color w:val="000000"/>
          <w:lang w:val="en-US"/>
        </w:rPr>
        <w:t>)</w:t>
      </w:r>
      <w:r w:rsidR="008E2E33" w:rsidRPr="005820A1">
        <w:rPr>
          <w:color w:val="000000"/>
          <w:lang w:val="en-US"/>
        </w:rPr>
        <w:t>.</w:t>
      </w:r>
      <w:r w:rsidR="006E3DA7" w:rsidRPr="005820A1">
        <w:rPr>
          <w:color w:val="000000"/>
          <w:lang w:val="en-US"/>
        </w:rPr>
        <w:t xml:space="preserve"> </w:t>
      </w:r>
      <w:r w:rsidR="00D30424" w:rsidRPr="005820A1">
        <w:rPr>
          <w:color w:val="000000"/>
          <w:lang w:val="en-US"/>
        </w:rPr>
        <w:t>HMGB1 knockout</w:t>
      </w:r>
      <w:r w:rsidRPr="005820A1">
        <w:rPr>
          <w:color w:val="000000"/>
          <w:lang w:val="en-US"/>
        </w:rPr>
        <w:t xml:space="preserve"> E14.5 FLs</w:t>
      </w:r>
      <w:r w:rsidR="00A07896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>showed a</w:t>
      </w:r>
      <w:r w:rsidR="00D30424" w:rsidRPr="005820A1">
        <w:rPr>
          <w:color w:val="000000"/>
          <w:lang w:val="en-US"/>
        </w:rPr>
        <w:t xml:space="preserve"> </w:t>
      </w:r>
      <w:r w:rsidR="009658B0" w:rsidRPr="005820A1">
        <w:rPr>
          <w:color w:val="000000"/>
          <w:lang w:val="en-US"/>
        </w:rPr>
        <w:t xml:space="preserve">similar phenotype, exhibiting a </w:t>
      </w:r>
      <w:r w:rsidR="00D30424" w:rsidRPr="005820A1">
        <w:rPr>
          <w:color w:val="000000"/>
          <w:lang w:val="en-US"/>
        </w:rPr>
        <w:t>significant reduction</w:t>
      </w:r>
      <w:r w:rsidR="00B46EDB" w:rsidRPr="005820A1">
        <w:rPr>
          <w:color w:val="000000"/>
          <w:lang w:val="en-US"/>
        </w:rPr>
        <w:t xml:space="preserve"> </w:t>
      </w:r>
      <w:r w:rsidR="003C7BFB" w:rsidRPr="005820A1">
        <w:rPr>
          <w:color w:val="000000"/>
          <w:lang w:val="en-US"/>
        </w:rPr>
        <w:t>in</w:t>
      </w:r>
      <w:r w:rsidR="00BB2395" w:rsidRPr="005820A1">
        <w:rPr>
          <w:color w:val="000000"/>
          <w:lang w:val="en-US"/>
        </w:rPr>
        <w:t xml:space="preserve"> absolute number and frequencies of</w:t>
      </w:r>
      <w:r w:rsidR="000B3DD5" w:rsidRPr="005820A1">
        <w:rPr>
          <w:color w:val="000000"/>
          <w:lang w:val="en-US"/>
        </w:rPr>
        <w:t xml:space="preserve"> </w:t>
      </w:r>
      <w:r w:rsidR="00D30424" w:rsidRPr="005820A1">
        <w:rPr>
          <w:color w:val="000000"/>
          <w:lang w:val="en-US"/>
        </w:rPr>
        <w:t xml:space="preserve">MPPs and </w:t>
      </w:r>
      <w:r w:rsidR="007B7FDB" w:rsidRPr="005820A1">
        <w:rPr>
          <w:color w:val="000000"/>
          <w:lang w:val="en-US"/>
        </w:rPr>
        <w:t>Ter119</w:t>
      </w:r>
      <w:r w:rsidR="007B7FDB" w:rsidRPr="005820A1">
        <w:rPr>
          <w:color w:val="000000"/>
          <w:vertAlign w:val="superscript"/>
          <w:lang w:val="en-US"/>
        </w:rPr>
        <w:t>-</w:t>
      </w:r>
      <w:r w:rsidR="007B7FDB" w:rsidRPr="005820A1">
        <w:rPr>
          <w:color w:val="000000"/>
          <w:lang w:val="en-US"/>
        </w:rPr>
        <w:t>CD45</w:t>
      </w:r>
      <w:r w:rsidR="007B7FDB" w:rsidRPr="005820A1">
        <w:rPr>
          <w:color w:val="000000"/>
          <w:vertAlign w:val="superscript"/>
          <w:lang w:val="en-US"/>
        </w:rPr>
        <w:t>+</w:t>
      </w:r>
      <w:r w:rsidR="007B7FDB" w:rsidRPr="005820A1">
        <w:rPr>
          <w:color w:val="000000"/>
          <w:lang w:val="en-US"/>
        </w:rPr>
        <w:t>Kit</w:t>
      </w:r>
      <w:r w:rsidR="007B7FDB" w:rsidRPr="005820A1">
        <w:rPr>
          <w:color w:val="000000"/>
          <w:vertAlign w:val="superscript"/>
          <w:lang w:val="en-US"/>
        </w:rPr>
        <w:t>+</w:t>
      </w:r>
      <w:r w:rsidRPr="005820A1">
        <w:rPr>
          <w:color w:val="000000"/>
          <w:lang w:val="en-US"/>
        </w:rPr>
        <w:t>,</w:t>
      </w:r>
      <w:r w:rsidR="00A07896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>a</w:t>
      </w:r>
      <w:r w:rsidR="00885C1C" w:rsidRPr="005820A1">
        <w:rPr>
          <w:color w:val="000000"/>
          <w:lang w:val="en-US"/>
        </w:rPr>
        <w:t>long with</w:t>
      </w:r>
      <w:r w:rsidR="00CE5945" w:rsidRPr="005820A1">
        <w:rPr>
          <w:color w:val="000000"/>
          <w:lang w:val="en-US"/>
        </w:rPr>
        <w:t xml:space="preserve"> severe reduction of</w:t>
      </w:r>
      <w:r w:rsidR="00EC509D" w:rsidRPr="005820A1">
        <w:rPr>
          <w:color w:val="000000"/>
          <w:lang w:val="en-US"/>
        </w:rPr>
        <w:t xml:space="preserve"> </w:t>
      </w:r>
      <w:r w:rsidR="007B7FDB" w:rsidRPr="005820A1">
        <w:rPr>
          <w:color w:val="000000"/>
          <w:lang w:val="en-US"/>
        </w:rPr>
        <w:t>m</w:t>
      </w:r>
      <w:r w:rsidR="00CE5945" w:rsidRPr="005820A1">
        <w:rPr>
          <w:color w:val="000000"/>
          <w:lang w:val="en-US"/>
        </w:rPr>
        <w:t xml:space="preserve">yeloid cells in the </w:t>
      </w:r>
      <w:r w:rsidR="000B3DD5" w:rsidRPr="005820A1">
        <w:rPr>
          <w:color w:val="000000"/>
          <w:lang w:val="en-US"/>
        </w:rPr>
        <w:t>PB</w:t>
      </w:r>
      <w:r w:rsidR="00D30424" w:rsidRPr="005820A1">
        <w:rPr>
          <w:color w:val="000000"/>
          <w:lang w:val="en-US"/>
        </w:rPr>
        <w:t xml:space="preserve">. </w:t>
      </w:r>
      <w:r w:rsidRPr="005820A1">
        <w:rPr>
          <w:color w:val="000000"/>
          <w:lang w:val="en-US"/>
        </w:rPr>
        <w:t xml:space="preserve">Interestingly, </w:t>
      </w:r>
      <w:r w:rsidR="0088686F" w:rsidRPr="005820A1">
        <w:rPr>
          <w:color w:val="000000"/>
          <w:lang w:val="en-US"/>
        </w:rPr>
        <w:t>at</w:t>
      </w:r>
      <w:r w:rsidR="00EC509D" w:rsidRPr="005820A1">
        <w:rPr>
          <w:color w:val="000000"/>
          <w:lang w:val="en-US"/>
        </w:rPr>
        <w:t xml:space="preserve"> </w:t>
      </w:r>
      <w:r w:rsidR="00D30424" w:rsidRPr="005820A1">
        <w:rPr>
          <w:color w:val="000000"/>
          <w:lang w:val="en-US"/>
        </w:rPr>
        <w:t>E12.5</w:t>
      </w:r>
      <w:r w:rsidRPr="005820A1">
        <w:rPr>
          <w:color w:val="000000"/>
          <w:lang w:val="en-US"/>
        </w:rPr>
        <w:t xml:space="preserve"> </w:t>
      </w:r>
      <w:r w:rsidR="00CE5945" w:rsidRPr="005820A1">
        <w:rPr>
          <w:color w:val="000000"/>
          <w:lang w:val="en-US"/>
        </w:rPr>
        <w:t>we observed an even more severe phenotype, with a notabl</w:t>
      </w:r>
      <w:r w:rsidR="00885C1C" w:rsidRPr="005820A1">
        <w:rPr>
          <w:color w:val="000000"/>
          <w:lang w:val="en-US"/>
        </w:rPr>
        <w:t>e</w:t>
      </w:r>
      <w:r w:rsidR="00CE5945" w:rsidRPr="005820A1">
        <w:rPr>
          <w:color w:val="000000"/>
          <w:lang w:val="en-US"/>
        </w:rPr>
        <w:t xml:space="preserve"> reduction in the total number of FL</w:t>
      </w:r>
      <w:r w:rsidR="00885C1C" w:rsidRPr="005820A1">
        <w:rPr>
          <w:color w:val="000000"/>
          <w:lang w:val="en-US"/>
        </w:rPr>
        <w:t xml:space="preserve"> cells</w:t>
      </w:r>
      <w:r w:rsidR="006E3DA7" w:rsidRPr="005820A1">
        <w:rPr>
          <w:color w:val="000000"/>
          <w:lang w:val="en-US"/>
        </w:rPr>
        <w:t>.</w:t>
      </w:r>
      <w:r w:rsidRPr="005820A1">
        <w:rPr>
          <w:color w:val="000000"/>
          <w:lang w:val="en-US"/>
        </w:rPr>
        <w:t xml:space="preserve"> These results were supported by ex vivo colony assays </w:t>
      </w:r>
      <w:r w:rsidR="006E3DA7" w:rsidRPr="005820A1">
        <w:rPr>
          <w:color w:val="000000"/>
          <w:lang w:val="en-US"/>
        </w:rPr>
        <w:t>highlighting</w:t>
      </w:r>
      <w:r w:rsidR="00A927D0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 xml:space="preserve">a severe reduction of hematopoietic </w:t>
      </w:r>
      <w:r w:rsidR="00A927D0" w:rsidRPr="005820A1">
        <w:rPr>
          <w:color w:val="000000"/>
          <w:lang w:val="en-US"/>
        </w:rPr>
        <w:t xml:space="preserve">progenitors </w:t>
      </w:r>
      <w:r w:rsidRPr="005820A1">
        <w:rPr>
          <w:color w:val="000000"/>
          <w:lang w:val="en-US"/>
        </w:rPr>
        <w:t xml:space="preserve">in embryos </w:t>
      </w:r>
      <w:r w:rsidR="00A927D0" w:rsidRPr="005820A1">
        <w:rPr>
          <w:color w:val="000000"/>
          <w:lang w:val="en-US"/>
        </w:rPr>
        <w:t>lacking HMGB1.</w:t>
      </w:r>
      <w:r w:rsidR="00D37462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 xml:space="preserve">Finally, </w:t>
      </w:r>
      <w:r w:rsidR="006E3DA7" w:rsidRPr="005820A1">
        <w:rPr>
          <w:color w:val="000000"/>
          <w:lang w:val="en-US"/>
        </w:rPr>
        <w:t>p</w:t>
      </w:r>
      <w:r w:rsidR="00031EB4" w:rsidRPr="005820A1">
        <w:rPr>
          <w:color w:val="000000"/>
          <w:lang w:val="en-US"/>
        </w:rPr>
        <w:t>reliminary data show</w:t>
      </w:r>
      <w:r w:rsidR="009658B0" w:rsidRPr="005820A1">
        <w:rPr>
          <w:color w:val="000000"/>
          <w:lang w:val="en-US"/>
        </w:rPr>
        <w:t>ed</w:t>
      </w:r>
      <w:r w:rsidR="00031EB4" w:rsidRPr="005820A1">
        <w:rPr>
          <w:color w:val="000000"/>
          <w:lang w:val="en-US"/>
        </w:rPr>
        <w:t xml:space="preserve"> that the deletion of CXCR4 during the </w:t>
      </w:r>
      <w:r w:rsidR="004E3B37" w:rsidRPr="005820A1">
        <w:rPr>
          <w:color w:val="000000"/>
          <w:lang w:val="en-US"/>
        </w:rPr>
        <w:t>hematopoietic stem cell (</w:t>
      </w:r>
      <w:r w:rsidR="00031EB4" w:rsidRPr="005820A1">
        <w:rPr>
          <w:color w:val="000000"/>
          <w:lang w:val="en-US"/>
        </w:rPr>
        <w:t>HSC</w:t>
      </w:r>
      <w:r w:rsidR="004E3B37" w:rsidRPr="005820A1">
        <w:rPr>
          <w:color w:val="000000"/>
          <w:lang w:val="en-US"/>
        </w:rPr>
        <w:t>)</w:t>
      </w:r>
      <w:r w:rsidR="00031EB4" w:rsidRPr="005820A1">
        <w:rPr>
          <w:color w:val="000000"/>
          <w:lang w:val="en-US"/>
        </w:rPr>
        <w:t>-dependent wave</w:t>
      </w:r>
      <w:r w:rsidR="003C7BFB" w:rsidRPr="005820A1">
        <w:rPr>
          <w:color w:val="000000"/>
          <w:lang w:val="en-US"/>
        </w:rPr>
        <w:t xml:space="preserve"> impairs</w:t>
      </w:r>
      <w:r w:rsidR="00031EB4" w:rsidRPr="005820A1">
        <w:rPr>
          <w:color w:val="000000"/>
          <w:lang w:val="en-US"/>
        </w:rPr>
        <w:t xml:space="preserve"> </w:t>
      </w:r>
      <w:r w:rsidR="004E3B37" w:rsidRPr="005820A1">
        <w:rPr>
          <w:color w:val="000000"/>
          <w:lang w:val="en-US"/>
        </w:rPr>
        <w:t xml:space="preserve">immunophenotypic </w:t>
      </w:r>
      <w:r w:rsidR="00031EB4" w:rsidRPr="005820A1">
        <w:rPr>
          <w:color w:val="000000"/>
          <w:lang w:val="en-US"/>
        </w:rPr>
        <w:t>HSCs</w:t>
      </w:r>
      <w:r w:rsidRPr="005820A1">
        <w:rPr>
          <w:color w:val="000000"/>
          <w:lang w:val="en-US"/>
        </w:rPr>
        <w:t xml:space="preserve"> number</w:t>
      </w:r>
      <w:r w:rsidR="004E3B37" w:rsidRPr="005820A1">
        <w:rPr>
          <w:color w:val="000000"/>
          <w:lang w:val="en-US"/>
        </w:rPr>
        <w:t xml:space="preserve"> and frequency</w:t>
      </w:r>
      <w:r w:rsidR="00963893" w:rsidRPr="005820A1">
        <w:rPr>
          <w:color w:val="000000"/>
          <w:lang w:val="en-US"/>
        </w:rPr>
        <w:t>.</w:t>
      </w:r>
      <w:r w:rsidR="00963893" w:rsidRPr="005820A1" w:rsidDel="00963893">
        <w:rPr>
          <w:color w:val="000000"/>
          <w:lang w:val="en-US"/>
        </w:rPr>
        <w:t xml:space="preserve"> </w:t>
      </w:r>
      <w:r w:rsidR="00AE5EB3" w:rsidRPr="005820A1">
        <w:rPr>
          <w:color w:val="000000"/>
          <w:lang w:val="en-US"/>
        </w:rPr>
        <w:t xml:space="preserve"> </w:t>
      </w:r>
      <w:r w:rsidR="009658B0" w:rsidRPr="005820A1">
        <w:rPr>
          <w:color w:val="000000"/>
          <w:lang w:val="en-US"/>
        </w:rPr>
        <w:t>Additional functional and molecular characterization of these models is ongoing.</w:t>
      </w:r>
    </w:p>
    <w:p w14:paraId="42493C29" w14:textId="5CB44D90" w:rsidR="006E3DA7" w:rsidRPr="005820A1" w:rsidRDefault="00111735" w:rsidP="00E436C4">
      <w:pPr>
        <w:pStyle w:val="NormaleWeb"/>
        <w:jc w:val="both"/>
        <w:rPr>
          <w:color w:val="000000"/>
          <w:lang w:val="en-US"/>
        </w:rPr>
      </w:pPr>
      <w:r w:rsidRPr="005820A1">
        <w:rPr>
          <w:color w:val="000000"/>
          <w:lang w:val="en-US"/>
        </w:rPr>
        <w:lastRenderedPageBreak/>
        <w:t>Taken together, our results show that t</w:t>
      </w:r>
      <w:r w:rsidR="00CF1890" w:rsidRPr="005820A1">
        <w:rPr>
          <w:color w:val="000000"/>
          <w:lang w:val="en-US"/>
        </w:rPr>
        <w:t xml:space="preserve">he </w:t>
      </w:r>
      <w:r w:rsidR="009753F4" w:rsidRPr="005820A1">
        <w:rPr>
          <w:color w:val="000000"/>
          <w:lang w:val="en-US"/>
        </w:rPr>
        <w:t>lack</w:t>
      </w:r>
      <w:r w:rsidR="00CF1890" w:rsidRPr="005820A1">
        <w:rPr>
          <w:color w:val="000000"/>
          <w:lang w:val="en-US"/>
        </w:rPr>
        <w:t xml:space="preserve"> </w:t>
      </w:r>
      <w:r w:rsidR="009753F4" w:rsidRPr="005820A1">
        <w:rPr>
          <w:color w:val="000000"/>
          <w:lang w:val="en-US"/>
        </w:rPr>
        <w:t xml:space="preserve">of CXCR4 ligands </w:t>
      </w:r>
      <w:r w:rsidRPr="005820A1">
        <w:rPr>
          <w:color w:val="000000"/>
          <w:lang w:val="en-US"/>
        </w:rPr>
        <w:t xml:space="preserve">results in </w:t>
      </w:r>
      <w:r w:rsidR="00CF1890" w:rsidRPr="005820A1">
        <w:rPr>
          <w:color w:val="000000"/>
          <w:lang w:val="en-US"/>
        </w:rPr>
        <w:t xml:space="preserve">an impairment </w:t>
      </w:r>
      <w:r w:rsidR="009753F4" w:rsidRPr="005820A1">
        <w:rPr>
          <w:color w:val="000000"/>
          <w:lang w:val="en-US"/>
        </w:rPr>
        <w:t>in</w:t>
      </w:r>
      <w:r w:rsidR="004737EA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 xml:space="preserve">the </w:t>
      </w:r>
      <w:r w:rsidR="004737EA" w:rsidRPr="005820A1">
        <w:rPr>
          <w:color w:val="000000"/>
          <w:lang w:val="en-US"/>
        </w:rPr>
        <w:t>development of</w:t>
      </w:r>
      <w:r w:rsidR="009753F4" w:rsidRPr="005820A1">
        <w:rPr>
          <w:color w:val="000000"/>
          <w:lang w:val="en-US"/>
        </w:rPr>
        <w:t xml:space="preserve"> </w:t>
      </w:r>
      <w:r w:rsidRPr="005820A1">
        <w:rPr>
          <w:color w:val="000000"/>
          <w:lang w:val="en-US"/>
        </w:rPr>
        <w:t xml:space="preserve">HSCs-independent </w:t>
      </w:r>
      <w:r w:rsidR="0043540F" w:rsidRPr="005820A1">
        <w:rPr>
          <w:color w:val="000000"/>
          <w:lang w:val="en-US"/>
        </w:rPr>
        <w:t xml:space="preserve">hematopoietic </w:t>
      </w:r>
      <w:r w:rsidR="009753F4" w:rsidRPr="005820A1">
        <w:rPr>
          <w:color w:val="000000"/>
          <w:lang w:val="en-US"/>
        </w:rPr>
        <w:t>progenitors</w:t>
      </w:r>
      <w:r w:rsidR="00C4717E" w:rsidRPr="005820A1">
        <w:rPr>
          <w:color w:val="000000"/>
          <w:lang w:val="en-US"/>
        </w:rPr>
        <w:t xml:space="preserve">, </w:t>
      </w:r>
      <w:r w:rsidR="006E3DA7" w:rsidRPr="005820A1">
        <w:rPr>
          <w:color w:val="000000"/>
          <w:lang w:val="en-US"/>
        </w:rPr>
        <w:t>thus suggesting an important role of the CXCL12-CXCR4 axis in this progenitor cell type</w:t>
      </w:r>
      <w:r w:rsidR="009658B0" w:rsidRPr="005820A1">
        <w:rPr>
          <w:color w:val="000000"/>
          <w:lang w:val="en-US"/>
        </w:rPr>
        <w:t>,</w:t>
      </w:r>
      <w:r w:rsidR="006E3DA7" w:rsidRPr="005820A1">
        <w:rPr>
          <w:color w:val="000000"/>
          <w:lang w:val="en-US"/>
        </w:rPr>
        <w:t xml:space="preserve"> which was recently described to be one of the primary contributors to fetal hematopoiesis.</w:t>
      </w:r>
    </w:p>
    <w:p w14:paraId="247294C4" w14:textId="1A42BB40" w:rsidR="00980165" w:rsidRPr="005820A1" w:rsidRDefault="004737EA" w:rsidP="00E436C4">
      <w:pPr>
        <w:pStyle w:val="NormaleWeb"/>
        <w:jc w:val="both"/>
        <w:rPr>
          <w:color w:val="000000"/>
          <w:lang w:val="en-US"/>
        </w:rPr>
      </w:pPr>
      <w:r w:rsidRPr="005820A1">
        <w:rPr>
          <w:color w:val="000000"/>
          <w:lang w:val="en-US"/>
        </w:rPr>
        <w:t>This project will s</w:t>
      </w:r>
      <w:r w:rsidR="00F172E0" w:rsidRPr="005820A1">
        <w:rPr>
          <w:color w:val="000000"/>
          <w:lang w:val="en-US"/>
        </w:rPr>
        <w:t xml:space="preserve">hed </w:t>
      </w:r>
      <w:r w:rsidR="004E3B37" w:rsidRPr="005820A1">
        <w:rPr>
          <w:color w:val="000000"/>
          <w:lang w:val="en-US"/>
        </w:rPr>
        <w:t xml:space="preserve">new </w:t>
      </w:r>
      <w:r w:rsidR="00F172E0" w:rsidRPr="005820A1">
        <w:rPr>
          <w:color w:val="000000"/>
          <w:lang w:val="en-US"/>
        </w:rPr>
        <w:t xml:space="preserve">light in </w:t>
      </w:r>
      <w:r w:rsidRPr="005820A1">
        <w:rPr>
          <w:color w:val="000000"/>
          <w:lang w:val="en-US"/>
        </w:rPr>
        <w:t>CXCL12-</w:t>
      </w:r>
      <w:r w:rsidR="00F07FE7" w:rsidRPr="005820A1">
        <w:rPr>
          <w:color w:val="000000"/>
          <w:lang w:val="en-US"/>
        </w:rPr>
        <w:t xml:space="preserve"> CXCR4-</w:t>
      </w:r>
      <w:r w:rsidRPr="005820A1">
        <w:rPr>
          <w:color w:val="000000"/>
          <w:lang w:val="en-US"/>
        </w:rPr>
        <w:t xml:space="preserve">HMGB1 </w:t>
      </w:r>
      <w:r w:rsidR="00111735" w:rsidRPr="005820A1">
        <w:rPr>
          <w:color w:val="000000"/>
          <w:lang w:val="en-US"/>
        </w:rPr>
        <w:t>function</w:t>
      </w:r>
      <w:r w:rsidR="00571CFD" w:rsidRPr="005820A1">
        <w:rPr>
          <w:color w:val="000000"/>
          <w:lang w:val="en-US"/>
        </w:rPr>
        <w:t xml:space="preserve"> </w:t>
      </w:r>
      <w:r w:rsidR="00F172E0" w:rsidRPr="005820A1">
        <w:rPr>
          <w:color w:val="000000"/>
          <w:lang w:val="en-US"/>
        </w:rPr>
        <w:t xml:space="preserve">during </w:t>
      </w:r>
      <w:r w:rsidR="00111735" w:rsidRPr="005820A1">
        <w:rPr>
          <w:color w:val="000000"/>
          <w:lang w:val="en-US"/>
        </w:rPr>
        <w:t xml:space="preserve">hematopoietic </w:t>
      </w:r>
      <w:r w:rsidR="00F172E0" w:rsidRPr="005820A1">
        <w:rPr>
          <w:color w:val="000000"/>
          <w:lang w:val="en-US"/>
        </w:rPr>
        <w:t>developmen</w:t>
      </w:r>
      <w:r w:rsidR="00571CFD" w:rsidRPr="005820A1">
        <w:rPr>
          <w:color w:val="000000"/>
          <w:lang w:val="en-US"/>
        </w:rPr>
        <w:t>t</w:t>
      </w:r>
      <w:r w:rsidR="0043540F" w:rsidRPr="005820A1">
        <w:rPr>
          <w:color w:val="000000"/>
          <w:lang w:val="en-US"/>
        </w:rPr>
        <w:t xml:space="preserve">. Our results bear relevance for </w:t>
      </w:r>
      <w:r w:rsidR="004E3B37" w:rsidRPr="005820A1">
        <w:rPr>
          <w:color w:val="000000"/>
          <w:lang w:val="en-US"/>
        </w:rPr>
        <w:t xml:space="preserve">protocols aimed at ex vivo HSC generation as well as </w:t>
      </w:r>
      <w:r w:rsidR="0043540F" w:rsidRPr="005820A1">
        <w:rPr>
          <w:color w:val="000000"/>
          <w:lang w:val="en-US"/>
        </w:rPr>
        <w:t xml:space="preserve">for </w:t>
      </w:r>
      <w:r w:rsidR="00A55D93" w:rsidRPr="005820A1">
        <w:rPr>
          <w:color w:val="000000"/>
          <w:lang w:val="en-US"/>
        </w:rPr>
        <w:t xml:space="preserve">neonatal </w:t>
      </w:r>
      <w:r w:rsidR="0043540F" w:rsidRPr="005820A1">
        <w:rPr>
          <w:color w:val="000000"/>
          <w:lang w:val="en-US"/>
        </w:rPr>
        <w:t xml:space="preserve">and </w:t>
      </w:r>
      <w:r w:rsidR="004E3B37" w:rsidRPr="005820A1">
        <w:rPr>
          <w:color w:val="000000"/>
          <w:lang w:val="en-US"/>
        </w:rPr>
        <w:t>pediatric leukemias.</w:t>
      </w:r>
    </w:p>
    <w:sectPr w:rsidR="00980165" w:rsidRPr="005820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165"/>
    <w:rsid w:val="00031EB4"/>
    <w:rsid w:val="00043B57"/>
    <w:rsid w:val="00055944"/>
    <w:rsid w:val="000B3DD5"/>
    <w:rsid w:val="00111735"/>
    <w:rsid w:val="001C024D"/>
    <w:rsid w:val="00274600"/>
    <w:rsid w:val="002A394E"/>
    <w:rsid w:val="002C0E67"/>
    <w:rsid w:val="002F5A6D"/>
    <w:rsid w:val="0033591B"/>
    <w:rsid w:val="003C4CB8"/>
    <w:rsid w:val="003C7BFB"/>
    <w:rsid w:val="0043540F"/>
    <w:rsid w:val="00445892"/>
    <w:rsid w:val="004737EA"/>
    <w:rsid w:val="00487C99"/>
    <w:rsid w:val="004A2B68"/>
    <w:rsid w:val="004E3B37"/>
    <w:rsid w:val="00571CFD"/>
    <w:rsid w:val="005820A1"/>
    <w:rsid w:val="006774BB"/>
    <w:rsid w:val="006D55BA"/>
    <w:rsid w:val="006E3DA7"/>
    <w:rsid w:val="00714CA3"/>
    <w:rsid w:val="007B7FDB"/>
    <w:rsid w:val="007C0143"/>
    <w:rsid w:val="007C5B7C"/>
    <w:rsid w:val="008348CC"/>
    <w:rsid w:val="00835415"/>
    <w:rsid w:val="00853339"/>
    <w:rsid w:val="00885C1C"/>
    <w:rsid w:val="0088686F"/>
    <w:rsid w:val="008A39AC"/>
    <w:rsid w:val="008E2E33"/>
    <w:rsid w:val="008E3100"/>
    <w:rsid w:val="009056E2"/>
    <w:rsid w:val="00906EBC"/>
    <w:rsid w:val="00963893"/>
    <w:rsid w:val="009658B0"/>
    <w:rsid w:val="009753F4"/>
    <w:rsid w:val="00980165"/>
    <w:rsid w:val="009A72DD"/>
    <w:rsid w:val="009C6C21"/>
    <w:rsid w:val="00A07896"/>
    <w:rsid w:val="00A55D93"/>
    <w:rsid w:val="00A71FCF"/>
    <w:rsid w:val="00A927D0"/>
    <w:rsid w:val="00AE5EB3"/>
    <w:rsid w:val="00AF24A1"/>
    <w:rsid w:val="00B46EDB"/>
    <w:rsid w:val="00B62268"/>
    <w:rsid w:val="00B7566C"/>
    <w:rsid w:val="00B77ABD"/>
    <w:rsid w:val="00BB2395"/>
    <w:rsid w:val="00BC3829"/>
    <w:rsid w:val="00C4717E"/>
    <w:rsid w:val="00C86B07"/>
    <w:rsid w:val="00CB6F2D"/>
    <w:rsid w:val="00CE5945"/>
    <w:rsid w:val="00CF1890"/>
    <w:rsid w:val="00D30424"/>
    <w:rsid w:val="00D37462"/>
    <w:rsid w:val="00D413ED"/>
    <w:rsid w:val="00DD2828"/>
    <w:rsid w:val="00E169E8"/>
    <w:rsid w:val="00E436C4"/>
    <w:rsid w:val="00EC509D"/>
    <w:rsid w:val="00F07FE7"/>
    <w:rsid w:val="00F172E0"/>
    <w:rsid w:val="00F86D80"/>
    <w:rsid w:val="00F93325"/>
    <w:rsid w:val="00FB4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9BF15"/>
  <w15:chartTrackingRefBased/>
  <w15:docId w15:val="{A167F8A0-67F6-374E-A7FB-1E2031B81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80165"/>
  </w:style>
  <w:style w:type="paragraph" w:styleId="Titolo1">
    <w:name w:val="heading 1"/>
    <w:basedOn w:val="Normale"/>
    <w:next w:val="Normale"/>
    <w:link w:val="Titolo1Carattere"/>
    <w:uiPriority w:val="9"/>
    <w:qFormat/>
    <w:rsid w:val="009801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801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801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801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801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801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801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801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801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801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801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801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801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801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801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801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801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801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801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801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801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801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801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801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8016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801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801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801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80165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Normale"/>
    <w:rsid w:val="00980165"/>
    <w:pPr>
      <w:spacing w:after="0" w:line="240" w:lineRule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en-GB"/>
      <w14:ligatures w14:val="none"/>
    </w:rPr>
  </w:style>
  <w:style w:type="paragraph" w:styleId="NormaleWeb">
    <w:name w:val="Normal (Web)"/>
    <w:basedOn w:val="Normale"/>
    <w:uiPriority w:val="99"/>
    <w:unhideWhenUsed/>
    <w:rsid w:val="00D30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Revisione">
    <w:name w:val="Revision"/>
    <w:hidden/>
    <w:uiPriority w:val="99"/>
    <w:semiHidden/>
    <w:rsid w:val="00906EBC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7AB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7ABD"/>
    <w:rPr>
      <w:rFonts w:ascii="Times New Roman" w:hAnsi="Times New Roman" w:cs="Times New Roman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8E2E3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E2E3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E2E3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E2E3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E2E3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070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46C91E-F49C-49B8-A4AC-51F6DE8F1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3278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sandesh.patel@unimib.it</dc:creator>
  <cp:keywords/>
  <dc:description/>
  <cp:lastModifiedBy>elena.dalessandro@unimib.it</cp:lastModifiedBy>
  <cp:revision>2</cp:revision>
  <dcterms:created xsi:type="dcterms:W3CDTF">2026-04-10T12:55:00Z</dcterms:created>
  <dcterms:modified xsi:type="dcterms:W3CDTF">2026-04-10T12:55:00Z</dcterms:modified>
</cp:coreProperties>
</file>